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39B8B6">
      <w:pPr>
        <w:adjustRightInd w:val="0"/>
        <w:snapToGrid w:val="0"/>
        <w:spacing w:line="300" w:lineRule="auto"/>
        <w:jc w:val="left"/>
        <w:rPr>
          <w:b/>
          <w:bCs/>
          <w:snapToGrid w:val="0"/>
          <w:kern w:val="0"/>
          <w:sz w:val="28"/>
          <w:szCs w:val="28"/>
        </w:rPr>
      </w:pPr>
      <w:r>
        <w:rPr>
          <w:b/>
          <w:bCs/>
          <w:snapToGrid w:val="0"/>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580390</wp:posOffset>
                </wp:positionH>
                <wp:positionV relativeFrom="paragraph">
                  <wp:posOffset>-41910</wp:posOffset>
                </wp:positionV>
                <wp:extent cx="3743960" cy="594360"/>
                <wp:effectExtent l="4445" t="4445" r="23495" b="10795"/>
                <wp:wrapNone/>
                <wp:docPr id="3" name="文本框 299"/>
                <wp:cNvGraphicFramePr/>
                <a:graphic xmlns:a="http://schemas.openxmlformats.org/drawingml/2006/main">
                  <a:graphicData uri="http://schemas.microsoft.com/office/word/2010/wordprocessingShape">
                    <wps:wsp>
                      <wps:cNvSpPr txBox="1"/>
                      <wps:spPr>
                        <a:xfrm>
                          <a:off x="0" y="0"/>
                          <a:ext cx="3743960" cy="59436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5AC3DEDA">
                            <w:pPr>
                              <w:spacing w:line="400" w:lineRule="exact"/>
                              <w:rPr>
                                <w:rFonts w:ascii="仿宋_GB2312" w:eastAsia="仿宋_GB2312"/>
                                <w:b/>
                                <w:sz w:val="26"/>
                                <w:szCs w:val="26"/>
                              </w:rPr>
                            </w:pPr>
                            <w:r>
                              <w:rPr>
                                <w:rFonts w:hint="eastAsia" w:ascii="仿宋_GB2312" w:eastAsia="仿宋_GB2312"/>
                                <w:b/>
                                <w:sz w:val="26"/>
                                <w:szCs w:val="26"/>
                              </w:rPr>
                              <w:t>深 圳 市 中 正 招 标 有 限 公 司</w:t>
                            </w:r>
                          </w:p>
                          <w:p w14:paraId="65F4038A">
                            <w:pPr>
                              <w:spacing w:line="400" w:lineRule="exact"/>
                              <w:rPr>
                                <w:rFonts w:ascii="仿宋_GB2312" w:eastAsia="仿宋_GB2312"/>
                                <w:sz w:val="22"/>
                              </w:rPr>
                            </w:pPr>
                            <w:r>
                              <w:rPr>
                                <w:rFonts w:hint="eastAsia" w:ascii="仿宋_GB2312" w:eastAsia="仿宋_GB2312"/>
                                <w:sz w:val="22"/>
                              </w:rPr>
                              <w:t>SHENZHEN ZHONGZHENG TENDERING CO.,LTD.</w:t>
                            </w:r>
                          </w:p>
                        </w:txbxContent>
                      </wps:txbx>
                      <wps:bodyPr upright="1"/>
                    </wps:wsp>
                  </a:graphicData>
                </a:graphic>
              </wp:anchor>
            </w:drawing>
          </mc:Choice>
          <mc:Fallback>
            <w:pict>
              <v:shape id="文本框 299" o:spid="_x0000_s1026" o:spt="202" type="#_x0000_t202" style="position:absolute;left:0pt;margin-left:45.7pt;margin-top:-3.3pt;height:46.8pt;width:294.8pt;z-index:251659264;mso-width-relative:page;mso-height-relative:page;" fillcolor="#FFFFFF" filled="t" stroked="t" coordsize="21600,21600" o:gfxdata="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3zNcdcAAAAIAQAADwAAAAAAAAABACAA&#10;AAAiAAAAZHJzL2Rvd25yZXYueG1sUEsBAhQAFAAAAAgAh07iQPSTJisOAgAARgQAAA4AAAAAAAAA&#10;AQAgAAAAJgEAAGRycy9lMm9Eb2MueG1sUEsFBgAAAAAGAAYAWQEAAKYFAAAAAA==&#10;">
                <v:fill on="t" focussize="0,0"/>
                <v:stroke color="#FFFFFF" joinstyle="miter"/>
                <v:imagedata o:title=""/>
                <o:lock v:ext="edit" aspectratio="f"/>
                <v:textbox>
                  <w:txbxContent>
                    <w:p w14:paraId="5AC3DEDA">
                      <w:pPr>
                        <w:spacing w:line="400" w:lineRule="exact"/>
                        <w:rPr>
                          <w:rFonts w:ascii="仿宋_GB2312" w:eastAsia="仿宋_GB2312"/>
                          <w:b/>
                          <w:sz w:val="26"/>
                          <w:szCs w:val="26"/>
                        </w:rPr>
                      </w:pPr>
                      <w:r>
                        <w:rPr>
                          <w:rFonts w:hint="eastAsia" w:ascii="仿宋_GB2312" w:eastAsia="仿宋_GB2312"/>
                          <w:b/>
                          <w:sz w:val="26"/>
                          <w:szCs w:val="26"/>
                        </w:rPr>
                        <w:t>深 圳 市 中 正 招 标 有 限 公 司</w:t>
                      </w:r>
                    </w:p>
                    <w:p w14:paraId="65F4038A">
                      <w:pPr>
                        <w:spacing w:line="400" w:lineRule="exact"/>
                        <w:rPr>
                          <w:rFonts w:ascii="仿宋_GB2312" w:eastAsia="仿宋_GB2312"/>
                          <w:sz w:val="22"/>
                        </w:rPr>
                      </w:pPr>
                      <w:r>
                        <w:rPr>
                          <w:rFonts w:hint="eastAsia" w:ascii="仿宋_GB2312" w:eastAsia="仿宋_GB2312"/>
                          <w:sz w:val="22"/>
                        </w:rPr>
                        <w:t>SHENZHEN ZHONGZHENG TENDERING CO.,LTD.</w:t>
                      </w:r>
                    </w:p>
                  </w:txbxContent>
                </v:textbox>
              </v:shape>
            </w:pict>
          </mc:Fallback>
        </mc:AlternateContent>
      </w:r>
      <w:r>
        <w:rPr>
          <w:b/>
          <w:kern w:val="0"/>
          <w:sz w:val="28"/>
          <w:szCs w:val="28"/>
        </w:rPr>
        <w:drawing>
          <wp:inline distT="0" distB="0" distL="0" distR="0">
            <wp:extent cx="552450" cy="476250"/>
            <wp:effectExtent l="57150" t="19050" r="190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srcRect/>
                    <a:stretch>
                      <a:fillRect/>
                    </a:stretch>
                  </pic:blipFill>
                  <pic:spPr>
                    <a:xfrm>
                      <a:off x="0" y="0"/>
                      <a:ext cx="552450" cy="476250"/>
                    </a:xfrm>
                    <a:prstGeom prst="rect">
                      <a:avLst/>
                    </a:prstGeom>
                    <a:solidFill>
                      <a:schemeClr val="bg1"/>
                    </a:solidFill>
                    <a:ln w="9525">
                      <a:noFill/>
                      <a:miter lim="800000"/>
                      <a:headEnd/>
                      <a:tailEnd/>
                    </a:ln>
                    <a:effectLst/>
                    <a:scene3d>
                      <a:camera prst="orthographicFront"/>
                      <a:lightRig rig="threePt" dir="t"/>
                    </a:scene3d>
                    <a:sp3d extrusionH="76200" contourW="12700">
                      <a:extrusionClr>
                        <a:schemeClr val="bg1"/>
                      </a:extrusionClr>
                      <a:contourClr>
                        <a:schemeClr val="bg1"/>
                      </a:contourClr>
                    </a:sp3d>
                  </pic:spPr>
                </pic:pic>
              </a:graphicData>
            </a:graphic>
          </wp:inline>
        </w:drawing>
      </w:r>
    </w:p>
    <w:p w14:paraId="02100501">
      <w:pPr>
        <w:ind w:left="682" w:leftChars="-203" w:hanging="1108" w:hangingChars="154"/>
        <w:rPr>
          <w:sz w:val="72"/>
          <w:szCs w:val="72"/>
        </w:rPr>
      </w:pPr>
    </w:p>
    <w:p w14:paraId="008D11D0">
      <w:pPr>
        <w:adjustRightInd w:val="0"/>
        <w:snapToGrid w:val="0"/>
        <w:spacing w:line="300" w:lineRule="auto"/>
        <w:jc w:val="left"/>
        <w:rPr>
          <w:b/>
          <w:bCs/>
          <w:snapToGrid w:val="0"/>
          <w:kern w:val="0"/>
          <w:sz w:val="28"/>
          <w:szCs w:val="28"/>
        </w:rPr>
      </w:pPr>
    </w:p>
    <w:p w14:paraId="4211AE3D">
      <w:pPr>
        <w:adjustRightInd w:val="0"/>
        <w:snapToGrid w:val="0"/>
        <w:spacing w:line="300" w:lineRule="auto"/>
        <w:jc w:val="left"/>
        <w:rPr>
          <w:b/>
          <w:bCs/>
          <w:snapToGrid w:val="0"/>
          <w:kern w:val="0"/>
          <w:sz w:val="28"/>
          <w:szCs w:val="28"/>
        </w:rPr>
      </w:pPr>
      <w:r>
        <w:rPr>
          <w:rFonts w:hint="eastAsia"/>
          <w:b/>
          <w:bCs/>
          <w:snapToGrid w:val="0"/>
          <w:kern w:val="0"/>
          <w:sz w:val="28"/>
          <w:szCs w:val="28"/>
        </w:rPr>
        <w:t xml:space="preserve"> </w:t>
      </w:r>
    </w:p>
    <w:p w14:paraId="00187ECC">
      <w:pPr>
        <w:adjustRightInd w:val="0"/>
        <w:snapToGrid w:val="0"/>
        <w:spacing w:line="300" w:lineRule="auto"/>
        <w:jc w:val="left"/>
        <w:rPr>
          <w:b/>
          <w:bCs/>
          <w:snapToGrid w:val="0"/>
          <w:kern w:val="0"/>
          <w:sz w:val="28"/>
          <w:szCs w:val="28"/>
        </w:rPr>
      </w:pPr>
    </w:p>
    <w:p w14:paraId="70FD959F">
      <w:pPr>
        <w:pStyle w:val="37"/>
        <w:widowControl/>
        <w:jc w:val="center"/>
        <w:rPr>
          <w:rFonts w:asciiTheme="minorEastAsia" w:hAnsiTheme="minorEastAsia" w:eastAsiaTheme="minorEastAsia"/>
          <w:b/>
          <w:snapToGrid w:val="0"/>
          <w:kern w:val="0"/>
          <w:sz w:val="44"/>
          <w:szCs w:val="44"/>
        </w:rPr>
      </w:pPr>
      <w:r>
        <w:rPr>
          <w:rFonts w:hint="eastAsia" w:cs="Times New Roman" w:asciiTheme="minorEastAsia" w:hAnsiTheme="minorEastAsia" w:eastAsiaTheme="minorEastAsia"/>
          <w:b/>
          <w:bCs/>
          <w:snapToGrid w:val="0"/>
          <w:kern w:val="0"/>
          <w:sz w:val="70"/>
          <w:szCs w:val="70"/>
          <w:lang w:val="en-US" w:eastAsia="zh-CN" w:bidi="ar-SA"/>
        </w:rPr>
        <w:t>夜间经济消费场景氛围营造示范项目</w:t>
      </w:r>
    </w:p>
    <w:p w14:paraId="376C9C7A">
      <w:pPr>
        <w:adjustRightInd w:val="0"/>
        <w:snapToGrid w:val="0"/>
        <w:spacing w:line="300" w:lineRule="auto"/>
        <w:jc w:val="center"/>
        <w:rPr>
          <w:rFonts w:asciiTheme="minorEastAsia" w:hAnsiTheme="minorEastAsia" w:eastAsiaTheme="minorEastAsia"/>
          <w:b/>
          <w:snapToGrid w:val="0"/>
          <w:kern w:val="0"/>
          <w:sz w:val="44"/>
          <w:szCs w:val="44"/>
        </w:rPr>
      </w:pPr>
    </w:p>
    <w:p w14:paraId="101569E1">
      <w:pPr>
        <w:adjustRightInd w:val="0"/>
        <w:snapToGrid w:val="0"/>
        <w:spacing w:line="300" w:lineRule="auto"/>
        <w:jc w:val="center"/>
        <w:rPr>
          <w:rFonts w:asciiTheme="minorEastAsia" w:hAnsiTheme="minorEastAsia" w:eastAsiaTheme="minorEastAsia"/>
          <w:b/>
          <w:snapToGrid w:val="0"/>
          <w:kern w:val="0"/>
          <w:sz w:val="44"/>
          <w:szCs w:val="44"/>
        </w:rPr>
      </w:pPr>
    </w:p>
    <w:p w14:paraId="16A65884">
      <w:pPr>
        <w:adjustRightInd w:val="0"/>
        <w:snapToGrid w:val="0"/>
        <w:spacing w:line="300" w:lineRule="auto"/>
        <w:jc w:val="center"/>
        <w:rPr>
          <w:rFonts w:asciiTheme="minorEastAsia" w:hAnsiTheme="minorEastAsia" w:eastAsiaTheme="minorEastAsia"/>
          <w:b/>
          <w:snapToGrid w:val="0"/>
          <w:kern w:val="0"/>
          <w:sz w:val="90"/>
        </w:rPr>
      </w:pPr>
      <w:r>
        <w:rPr>
          <w:rFonts w:hint="eastAsia" w:asciiTheme="minorEastAsia" w:hAnsiTheme="minorEastAsia" w:eastAsiaTheme="minorEastAsia"/>
          <w:b/>
          <w:snapToGrid w:val="0"/>
          <w:kern w:val="0"/>
          <w:sz w:val="90"/>
        </w:rPr>
        <w:t>服务类招标文件</w:t>
      </w:r>
    </w:p>
    <w:p w14:paraId="482FB5E8">
      <w:pPr>
        <w:adjustRightInd w:val="0"/>
        <w:snapToGrid w:val="0"/>
        <w:spacing w:line="300" w:lineRule="auto"/>
        <w:jc w:val="center"/>
        <w:rPr>
          <w:rFonts w:asciiTheme="minorEastAsia" w:hAnsiTheme="minorEastAsia" w:eastAsiaTheme="minorEastAsia"/>
          <w:b/>
          <w:snapToGrid w:val="0"/>
          <w:kern w:val="0"/>
          <w:sz w:val="32"/>
        </w:rPr>
      </w:pPr>
    </w:p>
    <w:p w14:paraId="65978D7C">
      <w:pPr>
        <w:adjustRightInd w:val="0"/>
        <w:snapToGrid w:val="0"/>
        <w:spacing w:line="300" w:lineRule="auto"/>
        <w:jc w:val="center"/>
        <w:rPr>
          <w:rFonts w:hint="eastAsia" w:asciiTheme="minorEastAsia" w:hAnsiTheme="minorEastAsia" w:eastAsiaTheme="minorEastAsia"/>
          <w:b/>
          <w:snapToGrid w:val="0"/>
          <w:kern w:val="0"/>
          <w:sz w:val="32"/>
          <w:lang w:eastAsia="zh-CN"/>
        </w:rPr>
      </w:pPr>
      <w:r>
        <w:rPr>
          <w:rFonts w:hint="eastAsia" w:asciiTheme="minorEastAsia" w:hAnsiTheme="minorEastAsia" w:eastAsiaTheme="minorEastAsia"/>
          <w:b/>
          <w:snapToGrid w:val="0"/>
          <w:kern w:val="0"/>
          <w:sz w:val="32"/>
        </w:rPr>
        <w:t>项目编号：</w:t>
      </w:r>
      <w:r>
        <w:rPr>
          <w:rFonts w:hint="eastAsia" w:asciiTheme="minorEastAsia" w:hAnsiTheme="minorEastAsia" w:eastAsiaTheme="minorEastAsia"/>
          <w:b/>
          <w:snapToGrid w:val="0"/>
          <w:kern w:val="0"/>
          <w:sz w:val="32"/>
          <w:lang w:eastAsia="zh-CN"/>
        </w:rPr>
        <w:t>SZDL2024002058</w:t>
      </w:r>
    </w:p>
    <w:p w14:paraId="37E85DEA">
      <w:pPr>
        <w:adjustRightInd w:val="0"/>
        <w:snapToGrid w:val="0"/>
        <w:spacing w:line="300" w:lineRule="auto"/>
        <w:jc w:val="center"/>
        <w:rPr>
          <w:rFonts w:asciiTheme="minorEastAsia" w:hAnsiTheme="minorEastAsia" w:eastAsiaTheme="minorEastAsia"/>
          <w:b/>
          <w:snapToGrid w:val="0"/>
          <w:kern w:val="0"/>
          <w:sz w:val="18"/>
          <w:szCs w:val="18"/>
        </w:rPr>
      </w:pPr>
    </w:p>
    <w:p w14:paraId="394BE337">
      <w:pPr>
        <w:adjustRightInd w:val="0"/>
        <w:snapToGrid w:val="0"/>
        <w:spacing w:line="300" w:lineRule="auto"/>
        <w:jc w:val="center"/>
        <w:rPr>
          <w:rFonts w:asciiTheme="minorEastAsia" w:hAnsiTheme="minorEastAsia" w:eastAsiaTheme="minorEastAsia"/>
          <w:b/>
          <w:snapToGrid w:val="0"/>
          <w:kern w:val="0"/>
          <w:sz w:val="44"/>
        </w:rPr>
      </w:pPr>
    </w:p>
    <w:p w14:paraId="62C8152E">
      <w:pPr>
        <w:adjustRightInd w:val="0"/>
        <w:snapToGrid w:val="0"/>
        <w:spacing w:line="300" w:lineRule="auto"/>
        <w:jc w:val="center"/>
        <w:rPr>
          <w:rFonts w:asciiTheme="minorEastAsia" w:hAnsiTheme="minorEastAsia" w:eastAsiaTheme="minorEastAsia"/>
        </w:rPr>
      </w:pPr>
      <w:r>
        <w:rPr>
          <w:rFonts w:asciiTheme="minorEastAsia" w:hAnsiTheme="minorEastAsia" w:eastAsiaTheme="minorEastAsia"/>
          <w:b/>
          <w:snapToGrid w:val="0"/>
          <w:kern w:val="0"/>
          <w:sz w:val="44"/>
        </w:rPr>
        <w:t xml:space="preserve"> </w:t>
      </w:r>
    </w:p>
    <w:p w14:paraId="7ABCC865">
      <w:pPr>
        <w:rPr>
          <w:rFonts w:asciiTheme="minorEastAsia" w:hAnsiTheme="minorEastAsia" w:eastAsiaTheme="minorEastAsia"/>
        </w:rPr>
      </w:pPr>
    </w:p>
    <w:p w14:paraId="5E444520">
      <w:pPr>
        <w:rPr>
          <w:rFonts w:asciiTheme="minorEastAsia" w:hAnsiTheme="minorEastAsia" w:eastAsiaTheme="minorEastAsia"/>
        </w:rPr>
      </w:pPr>
    </w:p>
    <w:p w14:paraId="30F26650">
      <w:pPr>
        <w:pStyle w:val="25"/>
        <w:adjustRightInd w:val="0"/>
        <w:snapToGrid w:val="0"/>
        <w:spacing w:line="300" w:lineRule="auto"/>
        <w:jc w:val="center"/>
        <w:rPr>
          <w:rFonts w:asciiTheme="minorEastAsia" w:hAnsiTheme="minorEastAsia" w:eastAsiaTheme="minorEastAsia"/>
        </w:rPr>
      </w:pPr>
      <w:r>
        <w:rPr>
          <w:rFonts w:hint="eastAsia" w:asciiTheme="minorEastAsia" w:hAnsiTheme="minorEastAsia" w:eastAsiaTheme="minorEastAsia"/>
          <w:b/>
          <w:snapToGrid w:val="0"/>
          <w:sz w:val="30"/>
        </w:rPr>
        <w:t>二〇二四年</w:t>
      </w:r>
      <w:r>
        <w:rPr>
          <w:rFonts w:hint="eastAsia" w:asciiTheme="minorEastAsia" w:hAnsiTheme="minorEastAsia" w:eastAsiaTheme="minorEastAsia"/>
          <w:b/>
          <w:snapToGrid w:val="0"/>
          <w:sz w:val="30"/>
          <w:lang w:eastAsia="zh-CN"/>
        </w:rPr>
        <w:t>十一</w:t>
      </w:r>
      <w:r>
        <w:rPr>
          <w:rFonts w:hint="eastAsia" w:asciiTheme="minorEastAsia" w:hAnsiTheme="minorEastAsia" w:eastAsiaTheme="minorEastAsia"/>
          <w:b/>
          <w:snapToGrid w:val="0"/>
          <w:sz w:val="30"/>
        </w:rPr>
        <w:t>月</w:t>
      </w:r>
    </w:p>
    <w:p w14:paraId="5609D5BC">
      <w:pPr>
        <w:pStyle w:val="37"/>
        <w:spacing w:before="454" w:beforeAutospacing="0" w:after="454" w:afterAutospacing="0"/>
        <w:ind w:left="454" w:right="454"/>
        <w:jc w:val="center"/>
        <w:outlineLvl w:val="0"/>
        <w:rPr>
          <w:sz w:val="40"/>
          <w:szCs w:val="40"/>
        </w:rPr>
      </w:pPr>
    </w:p>
    <w:p w14:paraId="259B1D67">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特别警示条款</w:t>
      </w:r>
    </w:p>
    <w:p w14:paraId="667A849D">
      <w:pPr>
        <w:spacing w:line="360" w:lineRule="auto"/>
        <w:ind w:firstLine="480" w:firstLineChars="200"/>
        <w:rPr>
          <w:rFonts w:ascii="仿宋" w:hAnsi="仿宋" w:eastAsia="仿宋"/>
          <w:sz w:val="24"/>
        </w:rPr>
      </w:pPr>
    </w:p>
    <w:p w14:paraId="0F4A4836">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一、《深圳经济特区政府采购条例》</w:t>
      </w:r>
    </w:p>
    <w:p w14:paraId="71791533">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第五十七条</w:t>
      </w:r>
      <w:r>
        <w:rPr>
          <w:rFonts w:asciiTheme="minorEastAsia" w:hAnsiTheme="minorEastAsia" w:eastAsiaTheme="minorEastAsia"/>
          <w:szCs w:val="21"/>
        </w:rPr>
        <w:t xml:space="preserve"> </w:t>
      </w:r>
      <w:r>
        <w:rPr>
          <w:rFonts w:hint="eastAsia" w:asciiTheme="minorEastAsia" w:hAnsiTheme="minorEastAsia" w:eastAsiaTheme="minorEastAsia"/>
          <w:szCs w:val="21"/>
        </w:rPr>
        <w:t>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B22A149">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（一）在采购活动中应当回避而未回避的；</w:t>
      </w:r>
    </w:p>
    <w:p w14:paraId="1E681119">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（二）未按本条例规定签订、履行采购合同，造成严重后果的；</w:t>
      </w:r>
    </w:p>
    <w:p w14:paraId="2089FD17">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（三）隐瞒真实情况，提供虚假资料的；</w:t>
      </w:r>
    </w:p>
    <w:p w14:paraId="5C8173B6">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（四）以非法手段排斥其他供应商参与竞争的；</w:t>
      </w:r>
    </w:p>
    <w:p w14:paraId="4CFA9F2F">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（五）与其他采购参加人串通投标的；</w:t>
      </w:r>
    </w:p>
    <w:p w14:paraId="299995C4">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（六）恶意投诉的；</w:t>
      </w:r>
    </w:p>
    <w:p w14:paraId="7E0E8D99">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（七）向采购项目相关人行贿或者提供其他不当利益的；</w:t>
      </w:r>
    </w:p>
    <w:p w14:paraId="05AA780A">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（八）阻碍、抗拒主管部门监督检查的；</w:t>
      </w:r>
    </w:p>
    <w:p w14:paraId="20932555">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（九）其他违反本条例规定的行为。</w:t>
      </w:r>
    </w:p>
    <w:p w14:paraId="165B708E">
      <w:pPr>
        <w:widowControl/>
        <w:spacing w:after="120"/>
        <w:jc w:val="left"/>
        <w:rPr>
          <w:rFonts w:ascii="Times New Roman" w:hAnsi="Times New Roman" w:eastAsiaTheme="minorEastAsia"/>
          <w:kern w:val="0"/>
          <w:sz w:val="24"/>
          <w:szCs w:val="24"/>
        </w:rPr>
      </w:pPr>
    </w:p>
    <w:p w14:paraId="5FC88EEA">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二、《深圳经济特区政府采购条例实施细则》</w:t>
      </w:r>
    </w:p>
    <w:p w14:paraId="5E71154E">
      <w:pPr>
        <w:spacing w:line="440" w:lineRule="exact"/>
        <w:ind w:firstLine="422" w:firstLineChars="20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第七十五条 供应商有下列情形的，属于采购条例所称的串通投标行为，按照采购条例第五十七条有关规定处理：</w:t>
      </w:r>
    </w:p>
    <w:p w14:paraId="33B92A39">
      <w:pPr>
        <w:spacing w:line="440" w:lineRule="exact"/>
        <w:ind w:firstLine="422" w:firstLineChars="20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（一）投标供应商之间相互约定给予未中标的供应商利益补偿；</w:t>
      </w:r>
    </w:p>
    <w:p w14:paraId="26755528">
      <w:pPr>
        <w:spacing w:line="440" w:lineRule="exact"/>
        <w:ind w:firstLine="422" w:firstLineChars="20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 xml:space="preserve">（二）不同投标供应商的法定代表人、主要经营负责人、项目投标授权代表人、项目负责人、主要技术人员为同一人、属同一单位或者在同一单位缴纳社会保险；          </w:t>
      </w:r>
    </w:p>
    <w:p w14:paraId="4C6620B3">
      <w:pPr>
        <w:spacing w:line="440" w:lineRule="exact"/>
        <w:ind w:firstLine="422" w:firstLineChars="20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（三）不同投标供应商的投标文件由同一单位或者同一人编制，或者由同一人分阶段参与编制的；</w:t>
      </w:r>
    </w:p>
    <w:p w14:paraId="0C9C84F7">
      <w:pPr>
        <w:spacing w:line="440" w:lineRule="exact"/>
        <w:ind w:firstLine="422" w:firstLineChars="20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（四）不同投标供应商的投标文件或部分投标文件相互混装；</w:t>
      </w:r>
    </w:p>
    <w:p w14:paraId="396643CB">
      <w:pPr>
        <w:spacing w:line="440" w:lineRule="exact"/>
        <w:ind w:firstLine="422" w:firstLineChars="20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（五）不同投标供应商的投标文件内容存在非正常一致；</w:t>
      </w:r>
    </w:p>
    <w:p w14:paraId="56BA222A">
      <w:pPr>
        <w:spacing w:line="440" w:lineRule="exact"/>
        <w:ind w:firstLine="422" w:firstLineChars="20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（六）由同一单位工作人员为两家以上（含两家）供应商进行同一项投标活动的；</w:t>
      </w:r>
    </w:p>
    <w:p w14:paraId="4DFE92A1">
      <w:pPr>
        <w:spacing w:line="440" w:lineRule="exact"/>
        <w:ind w:firstLine="422" w:firstLineChars="20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（七）主管部门依照法律、法规认定的其他情形。</w:t>
      </w:r>
    </w:p>
    <w:p w14:paraId="481ACED8">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第七十七条 供应商有下列情形之一的，属于隐瞒真实情况，提供虚假资料，按照采购条例第五十七的有关规定处理：</w:t>
      </w:r>
    </w:p>
    <w:p w14:paraId="6CDC433C">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（一）通过转让或者租借等方式从其他单位获取资格或者资质证书投标的；</w:t>
      </w:r>
    </w:p>
    <w:p w14:paraId="6968DF44">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（二）由其他单位或者其他单位负责人在投标供应商编制的投标文件上加盖印章或者签字的；</w:t>
      </w:r>
    </w:p>
    <w:p w14:paraId="4D5FAAD1">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（三）项目负责人或者主要技术人员不是本单位人员的；</w:t>
      </w:r>
    </w:p>
    <w:p w14:paraId="4D8B431E">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（四）投标保证金不是从投标供应商基本账户转出的；</w:t>
      </w:r>
    </w:p>
    <w:p w14:paraId="432B933F">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（五）其他隐瞒真实情况、提供虚假资料的行为。</w:t>
      </w:r>
    </w:p>
    <w:p w14:paraId="080A932D">
      <w:pPr>
        <w:spacing w:line="440" w:lineRule="exact"/>
        <w:ind w:firstLine="371" w:firstLineChars="177"/>
        <w:rPr>
          <w:rFonts w:asciiTheme="minorEastAsia" w:hAnsiTheme="minorEastAsia" w:eastAsiaTheme="minorEastAsia"/>
          <w:szCs w:val="21"/>
        </w:rPr>
      </w:pPr>
      <w:r>
        <w:rPr>
          <w:rFonts w:hint="eastAsia" w:asciiTheme="minorEastAsia" w:hAnsiTheme="minorEastAsia" w:eastAsiaTheme="minorEastAsia"/>
          <w:szCs w:val="21"/>
        </w:rPr>
        <w:t>投标供应商不能提供项目负责人或者主要技术人员的劳动合同、社会保险等劳动关系证明材料的，视为存在前款第（三）项规定的情形。</w:t>
      </w:r>
    </w:p>
    <w:p w14:paraId="1D6889BF">
      <w:pPr>
        <w:widowControl/>
        <w:spacing w:after="120"/>
        <w:jc w:val="left"/>
        <w:rPr>
          <w:rFonts w:ascii="Times New Roman" w:hAnsi="Times New Roman" w:eastAsiaTheme="minorEastAsia"/>
          <w:kern w:val="0"/>
          <w:sz w:val="24"/>
          <w:szCs w:val="24"/>
        </w:rPr>
      </w:pPr>
    </w:p>
    <w:p w14:paraId="38E35F4C">
      <w:pPr>
        <w:spacing w:line="44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三、《中华人民共和国政府采购法实施条例》</w:t>
      </w:r>
    </w:p>
    <w:p w14:paraId="1593B991">
      <w:pPr>
        <w:spacing w:line="440" w:lineRule="exact"/>
        <w:ind w:firstLine="371" w:firstLineChars="177"/>
        <w:rPr>
          <w:rFonts w:asciiTheme="minorEastAsia" w:hAnsiTheme="minorEastAsia" w:eastAsiaTheme="minorEastAsia"/>
          <w:szCs w:val="21"/>
        </w:rPr>
      </w:pPr>
      <w:r>
        <w:rPr>
          <w:rFonts w:hint="eastAsia" w:asciiTheme="minorEastAsia" w:hAnsiTheme="minorEastAsia" w:eastAsiaTheme="minorEastAsia"/>
          <w:szCs w:val="21"/>
        </w:rPr>
        <w:t>第十八条 单位负责人为同一人或者存在直接控股、管理关系的不同供应商，不得参加同一合同项下的政府采购活动。</w:t>
      </w:r>
    </w:p>
    <w:p w14:paraId="2A6DE213">
      <w:pPr>
        <w:spacing w:line="440" w:lineRule="exact"/>
        <w:ind w:firstLine="371" w:firstLineChars="177"/>
        <w:rPr>
          <w:rFonts w:asciiTheme="minorEastAsia" w:hAnsiTheme="minorEastAsia" w:eastAsiaTheme="minorEastAsia"/>
          <w:szCs w:val="21"/>
        </w:rPr>
      </w:pPr>
      <w:r>
        <w:rPr>
          <w:rFonts w:hint="eastAsia" w:asciiTheme="minorEastAsia" w:hAnsiTheme="minorEastAsia" w:eastAsiaTheme="minorEastAsia"/>
          <w:szCs w:val="21"/>
        </w:rPr>
        <w:t>除单一来源采购项目外，为采购项目提供整体设计、规范编制或者项目管理、监理、检测等服务的供应商，不得再参加该采购项目的其他采购活动。</w:t>
      </w:r>
    </w:p>
    <w:p w14:paraId="31DBF76E">
      <w:pPr>
        <w:spacing w:line="440" w:lineRule="exact"/>
        <w:ind w:firstLine="373" w:firstLineChars="177"/>
        <w:rPr>
          <w:rFonts w:asciiTheme="minorEastAsia" w:hAnsiTheme="minorEastAsia" w:eastAsiaTheme="minorEastAsia"/>
          <w:b/>
          <w:color w:val="FF0000"/>
          <w:szCs w:val="21"/>
        </w:rPr>
      </w:pPr>
    </w:p>
    <w:p w14:paraId="5F93F3AE">
      <w:pPr>
        <w:spacing w:line="440" w:lineRule="exact"/>
        <w:ind w:firstLine="373" w:firstLineChars="177"/>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投标供应商涉嫌存在串通投标等违法行为的，将书面报告财政主管部门依法处理。</w:t>
      </w:r>
    </w:p>
    <w:p w14:paraId="25D509A8">
      <w:pPr>
        <w:spacing w:line="360" w:lineRule="auto"/>
        <w:ind w:firstLine="480" w:firstLineChars="200"/>
        <w:rPr>
          <w:sz w:val="40"/>
          <w:szCs w:val="40"/>
        </w:rPr>
      </w:pPr>
      <w:r>
        <w:rPr>
          <w:rFonts w:hint="eastAsia" w:ascii="仿宋" w:hAnsi="仿宋" w:eastAsia="仿宋"/>
          <w:sz w:val="24"/>
        </w:rPr>
        <w:cr/>
      </w:r>
    </w:p>
    <w:p w14:paraId="42E98E36">
      <w:pPr>
        <w:widowControl/>
        <w:jc w:val="left"/>
        <w:rPr>
          <w:rFonts w:ascii="宋体" w:hAnsi="宋体" w:cs="宋体"/>
          <w:kern w:val="0"/>
          <w:sz w:val="40"/>
          <w:szCs w:val="40"/>
        </w:rPr>
      </w:pPr>
      <w:r>
        <w:rPr>
          <w:sz w:val="40"/>
          <w:szCs w:val="40"/>
        </w:rPr>
        <w:br w:type="page"/>
      </w:r>
    </w:p>
    <w:p w14:paraId="7541F3C6">
      <w:pPr>
        <w:pStyle w:val="37"/>
        <w:spacing w:before="454" w:beforeAutospacing="0" w:after="454" w:afterAutospacing="0"/>
        <w:ind w:left="454" w:right="454"/>
        <w:jc w:val="center"/>
        <w:outlineLvl w:val="0"/>
        <w:rPr>
          <w:rFonts w:hint="eastAsia" w:ascii="宋体" w:hAnsi="宋体" w:eastAsia="宋体" w:cs="宋体"/>
          <w:sz w:val="40"/>
          <w:szCs w:val="40"/>
          <w:lang w:eastAsia="zh-CN"/>
        </w:rPr>
      </w:pPr>
      <w:r>
        <w:rPr>
          <w:rFonts w:hint="eastAsia" w:ascii="宋体" w:hAnsi="宋体" w:eastAsia="宋体" w:cs="宋体"/>
          <w:sz w:val="40"/>
          <w:szCs w:val="40"/>
          <w:lang w:eastAsia="zh-CN"/>
        </w:rPr>
        <w:t>夜间经济消费场景氛围营造示范项目</w:t>
      </w:r>
    </w:p>
    <w:p w14:paraId="36D0D2B9">
      <w:pPr>
        <w:pStyle w:val="37"/>
        <w:jc w:val="center"/>
        <w:outlineLvl w:val="1"/>
        <w:rPr>
          <w:rFonts w:ascii="黑体" w:hAnsi="黑体" w:eastAsia="黑体"/>
          <w:sz w:val="40"/>
          <w:szCs w:val="40"/>
        </w:rPr>
      </w:pPr>
      <w:r>
        <w:rPr>
          <w:rFonts w:hint="eastAsia" w:ascii="黑体" w:hAnsi="黑体" w:eastAsia="黑体"/>
          <w:sz w:val="40"/>
          <w:szCs w:val="40"/>
        </w:rPr>
        <w:t>招标文件信息</w:t>
      </w:r>
    </w:p>
    <w:tbl>
      <w:tblPr>
        <w:tblStyle w:val="42"/>
        <w:tblW w:w="7938" w:type="dxa"/>
        <w:jc w:val="center"/>
        <w:tblCellSpacing w:w="0" w:type="dxa"/>
        <w:tblLayout w:type="autofit"/>
        <w:tblCellMar>
          <w:top w:w="45" w:type="dxa"/>
          <w:left w:w="45" w:type="dxa"/>
          <w:bottom w:w="45" w:type="dxa"/>
          <w:right w:w="45" w:type="dxa"/>
        </w:tblCellMar>
      </w:tblPr>
      <w:tblGrid>
        <w:gridCol w:w="2722"/>
        <w:gridCol w:w="5216"/>
      </w:tblGrid>
      <w:tr w14:paraId="4484FE8B">
        <w:tblPrEx>
          <w:tblCellMar>
            <w:top w:w="45" w:type="dxa"/>
            <w:left w:w="45" w:type="dxa"/>
            <w:bottom w:w="45" w:type="dxa"/>
            <w:right w:w="45" w:type="dxa"/>
          </w:tblCellMar>
        </w:tblPrEx>
        <w:trPr>
          <w:trHeight w:val="737" w:hRule="atLeast"/>
          <w:tblCellSpacing w:w="0" w:type="dxa"/>
          <w:jc w:val="center"/>
        </w:trPr>
        <w:tc>
          <w:tcPr>
            <w:tcW w:w="2722" w:type="dxa"/>
            <w:vAlign w:val="center"/>
          </w:tcPr>
          <w:p w14:paraId="0196ECC5">
            <w:pPr>
              <w:jc w:val="right"/>
              <w:rPr>
                <w:rFonts w:cs="宋体" w:asciiTheme="minorEastAsia" w:hAnsiTheme="minorEastAsia" w:eastAsiaTheme="minorEastAsia"/>
                <w:sz w:val="30"/>
                <w:szCs w:val="30"/>
              </w:rPr>
            </w:pPr>
            <w:r>
              <w:rPr>
                <w:rFonts w:asciiTheme="minorEastAsia" w:hAnsiTheme="minorEastAsia" w:eastAsiaTheme="minorEastAsia"/>
                <w:sz w:val="30"/>
                <w:szCs w:val="30"/>
              </w:rPr>
              <w:t>项目编号：</w:t>
            </w:r>
          </w:p>
        </w:tc>
        <w:tc>
          <w:tcPr>
            <w:tcW w:w="0" w:type="auto"/>
            <w:vAlign w:val="center"/>
          </w:tcPr>
          <w:p w14:paraId="1AAB9ACA">
            <w:pPr>
              <w:rPr>
                <w:rFonts w:hint="eastAsia" w:cs="宋体" w:asciiTheme="minorEastAsia" w:hAnsiTheme="minorEastAsia" w:eastAsiaTheme="minorEastAsia"/>
                <w:sz w:val="30"/>
                <w:szCs w:val="30"/>
                <w:lang w:eastAsia="zh-CN"/>
              </w:rPr>
            </w:pPr>
            <w:r>
              <w:rPr>
                <w:rFonts w:hint="eastAsia" w:asciiTheme="minorEastAsia" w:hAnsiTheme="minorEastAsia" w:eastAsiaTheme="minorEastAsia"/>
                <w:sz w:val="30"/>
                <w:szCs w:val="30"/>
                <w:lang w:eastAsia="zh-CN"/>
              </w:rPr>
              <w:t>SZDL2024002058</w:t>
            </w:r>
          </w:p>
        </w:tc>
      </w:tr>
      <w:tr w14:paraId="10263C15">
        <w:tblPrEx>
          <w:tblCellMar>
            <w:top w:w="45" w:type="dxa"/>
            <w:left w:w="45" w:type="dxa"/>
            <w:bottom w:w="45" w:type="dxa"/>
            <w:right w:w="45" w:type="dxa"/>
          </w:tblCellMar>
        </w:tblPrEx>
        <w:trPr>
          <w:trHeight w:val="737" w:hRule="atLeast"/>
          <w:tblCellSpacing w:w="0" w:type="dxa"/>
          <w:jc w:val="center"/>
        </w:trPr>
        <w:tc>
          <w:tcPr>
            <w:tcW w:w="0" w:type="auto"/>
            <w:vAlign w:val="center"/>
          </w:tcPr>
          <w:p w14:paraId="66F8A91C">
            <w:pPr>
              <w:jc w:val="right"/>
              <w:rPr>
                <w:rFonts w:cs="宋体" w:asciiTheme="minorEastAsia" w:hAnsiTheme="minorEastAsia" w:eastAsiaTheme="minorEastAsia"/>
                <w:sz w:val="30"/>
                <w:szCs w:val="30"/>
              </w:rPr>
            </w:pPr>
            <w:r>
              <w:rPr>
                <w:rFonts w:asciiTheme="minorEastAsia" w:hAnsiTheme="minorEastAsia" w:eastAsiaTheme="minorEastAsia"/>
                <w:sz w:val="30"/>
                <w:szCs w:val="30"/>
              </w:rPr>
              <w:t>项目名称：</w:t>
            </w:r>
          </w:p>
        </w:tc>
        <w:tc>
          <w:tcPr>
            <w:tcW w:w="0" w:type="auto"/>
            <w:vAlign w:val="center"/>
          </w:tcPr>
          <w:p w14:paraId="356A3483">
            <w:pPr>
              <w:pStyle w:val="37"/>
              <w:keepNext w:val="0"/>
              <w:keepLines w:val="0"/>
              <w:widowControl/>
              <w:suppressLineNumbers w:val="0"/>
              <w:spacing w:before="0" w:beforeAutospacing="0" w:after="0" w:afterAutospacing="0"/>
              <w:ind w:left="0" w:right="0" w:firstLine="0"/>
              <w:rPr>
                <w:rFonts w:hint="eastAsia" w:cs="宋体" w:asciiTheme="minorEastAsia" w:hAnsiTheme="minorEastAsia" w:eastAsiaTheme="minorEastAsia"/>
                <w:sz w:val="30"/>
                <w:szCs w:val="30"/>
                <w:lang w:eastAsia="zh-CN"/>
              </w:rPr>
            </w:pPr>
            <w:r>
              <w:rPr>
                <w:rFonts w:hint="eastAsia" w:cs="宋体" w:asciiTheme="minorEastAsia" w:hAnsiTheme="minorEastAsia" w:eastAsiaTheme="minorEastAsia"/>
                <w:sz w:val="30"/>
                <w:szCs w:val="30"/>
                <w:lang w:eastAsia="zh-CN"/>
              </w:rPr>
              <w:t>夜间经济消费场景氛围营造示范项目</w:t>
            </w:r>
          </w:p>
        </w:tc>
      </w:tr>
      <w:tr w14:paraId="39DB0EBA">
        <w:tblPrEx>
          <w:tblCellMar>
            <w:top w:w="45" w:type="dxa"/>
            <w:left w:w="45" w:type="dxa"/>
            <w:bottom w:w="45" w:type="dxa"/>
            <w:right w:w="45" w:type="dxa"/>
          </w:tblCellMar>
        </w:tblPrEx>
        <w:trPr>
          <w:trHeight w:val="737" w:hRule="atLeast"/>
          <w:tblCellSpacing w:w="0" w:type="dxa"/>
          <w:jc w:val="center"/>
        </w:trPr>
        <w:tc>
          <w:tcPr>
            <w:tcW w:w="0" w:type="auto"/>
            <w:vAlign w:val="center"/>
          </w:tcPr>
          <w:p w14:paraId="2D6944B6">
            <w:pPr>
              <w:jc w:val="right"/>
              <w:rPr>
                <w:rFonts w:cs="宋体" w:asciiTheme="minorEastAsia" w:hAnsiTheme="minorEastAsia" w:eastAsiaTheme="minorEastAsia"/>
                <w:sz w:val="30"/>
                <w:szCs w:val="30"/>
              </w:rPr>
            </w:pPr>
            <w:r>
              <w:rPr>
                <w:rFonts w:asciiTheme="minorEastAsia" w:hAnsiTheme="minorEastAsia" w:eastAsiaTheme="minorEastAsia"/>
                <w:sz w:val="30"/>
                <w:szCs w:val="30"/>
              </w:rPr>
              <w:t>包 号：</w:t>
            </w:r>
          </w:p>
        </w:tc>
        <w:tc>
          <w:tcPr>
            <w:tcW w:w="0" w:type="auto"/>
            <w:vAlign w:val="center"/>
          </w:tcPr>
          <w:p w14:paraId="7948CCAE">
            <w:pPr>
              <w:rPr>
                <w:rFonts w:cs="宋体" w:asciiTheme="minorEastAsia" w:hAnsiTheme="minorEastAsia" w:eastAsiaTheme="minorEastAsia"/>
                <w:sz w:val="30"/>
                <w:szCs w:val="30"/>
              </w:rPr>
            </w:pPr>
            <w:r>
              <w:rPr>
                <w:rFonts w:asciiTheme="minorEastAsia" w:hAnsiTheme="minorEastAsia" w:eastAsiaTheme="minorEastAsia"/>
                <w:sz w:val="30"/>
                <w:szCs w:val="30"/>
              </w:rPr>
              <w:t>A</w:t>
            </w:r>
          </w:p>
        </w:tc>
      </w:tr>
      <w:tr w14:paraId="1CE80F84">
        <w:tblPrEx>
          <w:tblCellMar>
            <w:top w:w="45" w:type="dxa"/>
            <w:left w:w="45" w:type="dxa"/>
            <w:bottom w:w="45" w:type="dxa"/>
            <w:right w:w="45" w:type="dxa"/>
          </w:tblCellMar>
        </w:tblPrEx>
        <w:trPr>
          <w:trHeight w:val="737" w:hRule="atLeast"/>
          <w:tblCellSpacing w:w="0" w:type="dxa"/>
          <w:jc w:val="center"/>
        </w:trPr>
        <w:tc>
          <w:tcPr>
            <w:tcW w:w="0" w:type="auto"/>
            <w:vAlign w:val="center"/>
          </w:tcPr>
          <w:p w14:paraId="2D06B2C7">
            <w:pPr>
              <w:jc w:val="right"/>
              <w:rPr>
                <w:rFonts w:cs="宋体" w:asciiTheme="minorEastAsia" w:hAnsiTheme="minorEastAsia" w:eastAsiaTheme="minorEastAsia"/>
                <w:sz w:val="30"/>
                <w:szCs w:val="30"/>
              </w:rPr>
            </w:pPr>
            <w:r>
              <w:rPr>
                <w:rFonts w:asciiTheme="minorEastAsia" w:hAnsiTheme="minorEastAsia" w:eastAsiaTheme="minorEastAsia"/>
                <w:sz w:val="30"/>
                <w:szCs w:val="30"/>
              </w:rPr>
              <w:t>项目类型：</w:t>
            </w:r>
          </w:p>
        </w:tc>
        <w:tc>
          <w:tcPr>
            <w:tcW w:w="0" w:type="auto"/>
            <w:vAlign w:val="center"/>
          </w:tcPr>
          <w:p w14:paraId="7F14EA9F">
            <w:pPr>
              <w:rPr>
                <w:rFonts w:cs="宋体" w:asciiTheme="minorEastAsia" w:hAnsiTheme="minorEastAsia" w:eastAsiaTheme="minorEastAsia"/>
                <w:sz w:val="30"/>
                <w:szCs w:val="30"/>
              </w:rPr>
            </w:pPr>
            <w:r>
              <w:rPr>
                <w:rFonts w:asciiTheme="minorEastAsia" w:hAnsiTheme="minorEastAsia" w:eastAsiaTheme="minorEastAsia"/>
                <w:sz w:val="30"/>
                <w:szCs w:val="30"/>
              </w:rPr>
              <w:t>服务类</w:t>
            </w:r>
          </w:p>
        </w:tc>
      </w:tr>
      <w:tr w14:paraId="287DC77D">
        <w:tblPrEx>
          <w:tblCellMar>
            <w:top w:w="45" w:type="dxa"/>
            <w:left w:w="45" w:type="dxa"/>
            <w:bottom w:w="45" w:type="dxa"/>
            <w:right w:w="45" w:type="dxa"/>
          </w:tblCellMar>
        </w:tblPrEx>
        <w:trPr>
          <w:trHeight w:val="737" w:hRule="atLeast"/>
          <w:tblCellSpacing w:w="0" w:type="dxa"/>
          <w:jc w:val="center"/>
        </w:trPr>
        <w:tc>
          <w:tcPr>
            <w:tcW w:w="0" w:type="auto"/>
            <w:vAlign w:val="center"/>
          </w:tcPr>
          <w:p w14:paraId="423C9928">
            <w:pPr>
              <w:jc w:val="right"/>
              <w:rPr>
                <w:rFonts w:cs="宋体" w:asciiTheme="minorEastAsia" w:hAnsiTheme="minorEastAsia" w:eastAsiaTheme="minorEastAsia"/>
                <w:sz w:val="30"/>
                <w:szCs w:val="30"/>
              </w:rPr>
            </w:pPr>
            <w:r>
              <w:rPr>
                <w:rFonts w:asciiTheme="minorEastAsia" w:hAnsiTheme="minorEastAsia" w:eastAsiaTheme="minorEastAsia"/>
                <w:sz w:val="30"/>
                <w:szCs w:val="30"/>
              </w:rPr>
              <w:t>采购方式：</w:t>
            </w:r>
          </w:p>
        </w:tc>
        <w:tc>
          <w:tcPr>
            <w:tcW w:w="0" w:type="auto"/>
            <w:vAlign w:val="center"/>
          </w:tcPr>
          <w:p w14:paraId="5632A508">
            <w:pPr>
              <w:rPr>
                <w:rFonts w:cs="宋体" w:asciiTheme="minorEastAsia" w:hAnsiTheme="minorEastAsia" w:eastAsiaTheme="minorEastAsia"/>
                <w:sz w:val="30"/>
                <w:szCs w:val="30"/>
              </w:rPr>
            </w:pPr>
            <w:r>
              <w:rPr>
                <w:rFonts w:asciiTheme="minorEastAsia" w:hAnsiTheme="minorEastAsia" w:eastAsiaTheme="minorEastAsia"/>
                <w:sz w:val="30"/>
                <w:szCs w:val="30"/>
              </w:rPr>
              <w:t>公开招标</w:t>
            </w:r>
          </w:p>
        </w:tc>
      </w:tr>
      <w:tr w14:paraId="54056687">
        <w:tblPrEx>
          <w:tblCellMar>
            <w:top w:w="45" w:type="dxa"/>
            <w:left w:w="45" w:type="dxa"/>
            <w:bottom w:w="45" w:type="dxa"/>
            <w:right w:w="45" w:type="dxa"/>
          </w:tblCellMar>
        </w:tblPrEx>
        <w:trPr>
          <w:trHeight w:val="737" w:hRule="atLeast"/>
          <w:tblCellSpacing w:w="0" w:type="dxa"/>
          <w:jc w:val="center"/>
        </w:trPr>
        <w:tc>
          <w:tcPr>
            <w:tcW w:w="0" w:type="auto"/>
            <w:vAlign w:val="center"/>
          </w:tcPr>
          <w:p w14:paraId="529844E2">
            <w:pPr>
              <w:jc w:val="right"/>
              <w:rPr>
                <w:rFonts w:ascii="宋体" w:hAnsi="宋体" w:cs="宋体"/>
                <w:sz w:val="30"/>
                <w:szCs w:val="30"/>
              </w:rPr>
            </w:pPr>
            <w:r>
              <w:rPr>
                <w:sz w:val="30"/>
                <w:szCs w:val="30"/>
              </w:rPr>
              <w:t>货币类型：</w:t>
            </w:r>
          </w:p>
        </w:tc>
        <w:tc>
          <w:tcPr>
            <w:tcW w:w="0" w:type="auto"/>
            <w:vAlign w:val="center"/>
          </w:tcPr>
          <w:p w14:paraId="24F4C656">
            <w:pPr>
              <w:rPr>
                <w:rFonts w:ascii="宋体" w:hAnsi="宋体" w:cs="宋体"/>
                <w:sz w:val="30"/>
                <w:szCs w:val="30"/>
              </w:rPr>
            </w:pPr>
            <w:r>
              <w:rPr>
                <w:sz w:val="30"/>
                <w:szCs w:val="30"/>
              </w:rPr>
              <w:t>人民币</w:t>
            </w:r>
          </w:p>
        </w:tc>
      </w:tr>
      <w:tr w14:paraId="31481449">
        <w:tblPrEx>
          <w:tblCellMar>
            <w:top w:w="45" w:type="dxa"/>
            <w:left w:w="45" w:type="dxa"/>
            <w:bottom w:w="45" w:type="dxa"/>
            <w:right w:w="45" w:type="dxa"/>
          </w:tblCellMar>
        </w:tblPrEx>
        <w:trPr>
          <w:trHeight w:val="737" w:hRule="atLeast"/>
          <w:tblCellSpacing w:w="0" w:type="dxa"/>
          <w:jc w:val="center"/>
        </w:trPr>
        <w:tc>
          <w:tcPr>
            <w:tcW w:w="0" w:type="auto"/>
            <w:vAlign w:val="center"/>
          </w:tcPr>
          <w:p w14:paraId="7FA67D44">
            <w:pPr>
              <w:jc w:val="right"/>
              <w:rPr>
                <w:rFonts w:ascii="宋体" w:hAnsi="宋体" w:cs="宋体"/>
                <w:sz w:val="30"/>
                <w:szCs w:val="30"/>
              </w:rPr>
            </w:pPr>
            <w:r>
              <w:rPr>
                <w:sz w:val="30"/>
                <w:szCs w:val="30"/>
              </w:rPr>
              <w:t>评标方法：</w:t>
            </w:r>
          </w:p>
        </w:tc>
        <w:tc>
          <w:tcPr>
            <w:tcW w:w="0" w:type="auto"/>
            <w:vAlign w:val="center"/>
          </w:tcPr>
          <w:p w14:paraId="44AAA48F">
            <w:pPr>
              <w:rPr>
                <w:rFonts w:ascii="宋体" w:hAnsi="宋体" w:cs="宋体"/>
                <w:sz w:val="30"/>
                <w:szCs w:val="30"/>
              </w:rPr>
            </w:pPr>
            <w:r>
              <w:rPr>
                <w:sz w:val="30"/>
                <w:szCs w:val="30"/>
              </w:rPr>
              <w:t>综合评分法（新价格分算法）</w:t>
            </w:r>
          </w:p>
        </w:tc>
      </w:tr>
    </w:tbl>
    <w:p w14:paraId="4FE415FD">
      <w:pPr>
        <w:pStyle w:val="37"/>
        <w:jc w:val="center"/>
        <w:outlineLvl w:val="1"/>
        <w:rPr>
          <w:rFonts w:ascii="黑体" w:hAnsi="黑体" w:eastAsia="黑体"/>
          <w:sz w:val="40"/>
          <w:szCs w:val="40"/>
        </w:rPr>
      </w:pPr>
      <w:r>
        <w:rPr>
          <w:rFonts w:hint="eastAsia" w:ascii="黑体" w:hAnsi="黑体" w:eastAsia="黑体"/>
          <w:sz w:val="40"/>
          <w:szCs w:val="40"/>
        </w:rPr>
        <w:t>资格性审查表</w:t>
      </w:r>
    </w:p>
    <w:tbl>
      <w:tblPr>
        <w:tblStyle w:val="4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78"/>
      </w:tblGrid>
      <w:tr w14:paraId="523C44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06EAE94">
            <w:pPr>
              <w:jc w:val="center"/>
              <w:rPr>
                <w:rFonts w:ascii="宋体" w:hAnsi="宋体" w:cs="宋体"/>
                <w:sz w:val="28"/>
                <w:szCs w:val="28"/>
              </w:rPr>
            </w:pPr>
            <w:r>
              <w:rPr>
                <w:sz w:val="28"/>
                <w:szCs w:val="2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E6EFFA"/>
            <w:vAlign w:val="center"/>
          </w:tcPr>
          <w:p w14:paraId="3C2B1001">
            <w:pPr>
              <w:jc w:val="center"/>
              <w:rPr>
                <w:rFonts w:ascii="宋体" w:hAnsi="宋体" w:cs="宋体"/>
                <w:sz w:val="28"/>
                <w:szCs w:val="28"/>
              </w:rPr>
            </w:pPr>
            <w:r>
              <w:rPr>
                <w:sz w:val="28"/>
                <w:szCs w:val="28"/>
              </w:rPr>
              <w:t>内容</w:t>
            </w:r>
          </w:p>
        </w:tc>
      </w:tr>
      <w:tr w14:paraId="23BC0B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BCBCED0">
            <w:pPr>
              <w:jc w:val="center"/>
              <w:rPr>
                <w:rFonts w:ascii="宋体" w:hAnsi="宋体" w:cs="宋体"/>
                <w:szCs w:val="21"/>
              </w:rPr>
            </w:pPr>
            <w:r>
              <w:rPr>
                <w:szCs w:val="21"/>
              </w:rPr>
              <w:t>1</w:t>
            </w:r>
          </w:p>
        </w:tc>
        <w:tc>
          <w:tcPr>
            <w:tcW w:w="0" w:type="auto"/>
            <w:tcBorders>
              <w:top w:val="single" w:color="000000" w:sz="8" w:space="0"/>
              <w:left w:val="single" w:color="000000" w:sz="8" w:space="0"/>
              <w:bottom w:val="single" w:color="000000" w:sz="8" w:space="0"/>
              <w:right w:val="single" w:color="000000" w:sz="8" w:space="0"/>
            </w:tcBorders>
          </w:tcPr>
          <w:p w14:paraId="3A438CCE">
            <w:pPr>
              <w:rPr>
                <w:rFonts w:ascii="宋体" w:hAnsi="宋体" w:cs="宋体"/>
                <w:szCs w:val="21"/>
              </w:rPr>
            </w:pPr>
            <w:r>
              <w:rPr>
                <w:szCs w:val="21"/>
              </w:rPr>
              <w:t>投标人具备招标文件所列的资格要求，</w:t>
            </w:r>
            <w:r>
              <w:rPr>
                <w:rFonts w:hint="eastAsia"/>
                <w:szCs w:val="21"/>
              </w:rPr>
              <w:t>且</w:t>
            </w:r>
            <w:r>
              <w:rPr>
                <w:szCs w:val="21"/>
              </w:rPr>
              <w:t>提交相应的资格证明资料（详见招标公告</w:t>
            </w:r>
            <w:r>
              <w:rPr>
                <w:rFonts w:ascii="宋体" w:hAnsi="宋体"/>
              </w:rPr>
              <w:t>申请人的资格要求</w:t>
            </w:r>
            <w:r>
              <w:rPr>
                <w:szCs w:val="21"/>
              </w:rPr>
              <w:t>）</w:t>
            </w:r>
          </w:p>
        </w:tc>
      </w:tr>
    </w:tbl>
    <w:p w14:paraId="79B32352">
      <w:pPr>
        <w:pStyle w:val="37"/>
        <w:spacing w:before="280" w:beforeAutospacing="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4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78"/>
      </w:tblGrid>
      <w:tr w14:paraId="3191B2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814372A">
            <w:pPr>
              <w:jc w:val="center"/>
              <w:rPr>
                <w:rFonts w:ascii="宋体" w:hAnsi="宋体" w:cs="宋体"/>
                <w:sz w:val="28"/>
                <w:szCs w:val="28"/>
              </w:rPr>
            </w:pPr>
            <w:r>
              <w:rPr>
                <w:rFonts w:ascii="Times New Roman" w:hAnsi="Times New Roman"/>
                <w:sz w:val="28"/>
                <w:szCs w:val="2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E6EFFA"/>
            <w:vAlign w:val="center"/>
          </w:tcPr>
          <w:p w14:paraId="5168DD7F">
            <w:pPr>
              <w:jc w:val="center"/>
              <w:rPr>
                <w:rFonts w:ascii="宋体" w:hAnsi="宋体" w:cs="宋体"/>
                <w:sz w:val="28"/>
                <w:szCs w:val="28"/>
              </w:rPr>
            </w:pPr>
            <w:r>
              <w:rPr>
                <w:rFonts w:ascii="Times New Roman" w:hAnsi="Times New Roman"/>
                <w:sz w:val="28"/>
                <w:szCs w:val="28"/>
              </w:rPr>
              <w:t>内容</w:t>
            </w:r>
          </w:p>
        </w:tc>
      </w:tr>
      <w:tr w14:paraId="506FAD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1D7C99D">
            <w:pPr>
              <w:jc w:val="center"/>
              <w:rPr>
                <w:rFonts w:ascii="宋体" w:hAnsi="宋体" w:cs="宋体"/>
                <w:szCs w:val="21"/>
              </w:rPr>
            </w:pPr>
            <w:r>
              <w:rPr>
                <w:rFonts w:ascii="Times New Roman" w:hAnsi="Times New Roman"/>
                <w:szCs w:val="21"/>
              </w:rPr>
              <w:t>1</w:t>
            </w:r>
          </w:p>
        </w:tc>
        <w:tc>
          <w:tcPr>
            <w:tcW w:w="0" w:type="auto"/>
            <w:tcBorders>
              <w:top w:val="single" w:color="000000" w:sz="8" w:space="0"/>
              <w:left w:val="single" w:color="000000" w:sz="8" w:space="0"/>
              <w:bottom w:val="single" w:color="000000" w:sz="8" w:space="0"/>
              <w:right w:val="single" w:color="000000" w:sz="8" w:space="0"/>
            </w:tcBorders>
          </w:tcPr>
          <w:p w14:paraId="6D25A2BF">
            <w:pPr>
              <w:rPr>
                <w:rFonts w:ascii="宋体" w:hAnsi="宋体" w:cs="宋体"/>
                <w:szCs w:val="21"/>
              </w:rPr>
            </w:pPr>
            <w:r>
              <w:rPr>
                <w:rFonts w:hint="eastAsia" w:ascii="Times New Roman" w:hAnsi="Times New Roman"/>
                <w:szCs w:val="21"/>
              </w:rPr>
              <w:t>未</w:t>
            </w:r>
            <w:r>
              <w:rPr>
                <w:rFonts w:ascii="Times New Roman" w:hAnsi="Times New Roman"/>
                <w:szCs w:val="21"/>
              </w:rPr>
              <w:t>将一个包或一个标段的内容拆开投标</w:t>
            </w:r>
          </w:p>
        </w:tc>
      </w:tr>
      <w:tr w14:paraId="497D40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A897FA0">
            <w:pPr>
              <w:jc w:val="center"/>
              <w:rPr>
                <w:rFonts w:ascii="宋体" w:hAnsi="宋体" w:cs="宋体"/>
                <w:szCs w:val="21"/>
              </w:rPr>
            </w:pPr>
            <w:r>
              <w:rPr>
                <w:rFonts w:ascii="Times New Roman" w:hAnsi="Times New Roman"/>
                <w:szCs w:val="21"/>
              </w:rPr>
              <w:t>2</w:t>
            </w:r>
          </w:p>
        </w:tc>
        <w:tc>
          <w:tcPr>
            <w:tcW w:w="0" w:type="auto"/>
            <w:tcBorders>
              <w:top w:val="single" w:color="000000" w:sz="8" w:space="0"/>
              <w:left w:val="single" w:color="000000" w:sz="8" w:space="0"/>
              <w:bottom w:val="single" w:color="000000" w:sz="8" w:space="0"/>
              <w:right w:val="single" w:color="000000" w:sz="8" w:space="0"/>
            </w:tcBorders>
          </w:tcPr>
          <w:p w14:paraId="7E5FB947">
            <w:pPr>
              <w:rPr>
                <w:rFonts w:ascii="宋体" w:hAnsi="宋体" w:cs="宋体"/>
                <w:szCs w:val="21"/>
              </w:rPr>
            </w:pPr>
            <w:r>
              <w:rPr>
                <w:rFonts w:ascii="Times New Roman" w:hAnsi="Times New Roman"/>
                <w:szCs w:val="21"/>
              </w:rPr>
              <w:t>对同一项目投标时，</w:t>
            </w:r>
            <w:r>
              <w:rPr>
                <w:rFonts w:hint="eastAsia" w:ascii="Times New Roman" w:hAnsi="Times New Roman"/>
                <w:szCs w:val="21"/>
              </w:rPr>
              <w:t>未</w:t>
            </w:r>
            <w:r>
              <w:rPr>
                <w:rFonts w:ascii="Times New Roman" w:hAnsi="Times New Roman"/>
                <w:szCs w:val="21"/>
              </w:rPr>
              <w:t>提供两套</w:t>
            </w:r>
            <w:r>
              <w:rPr>
                <w:rFonts w:hint="eastAsia" w:ascii="Times New Roman" w:hAnsi="Times New Roman"/>
                <w:szCs w:val="21"/>
              </w:rPr>
              <w:t>及</w:t>
            </w:r>
            <w:r>
              <w:rPr>
                <w:rFonts w:ascii="Times New Roman" w:hAnsi="Times New Roman"/>
                <w:szCs w:val="21"/>
              </w:rPr>
              <w:t>以上的投标方案（招标文件另有规定的除外）</w:t>
            </w:r>
          </w:p>
        </w:tc>
      </w:tr>
      <w:tr w14:paraId="5BAF41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B3A1125">
            <w:pPr>
              <w:jc w:val="center"/>
              <w:rPr>
                <w:rFonts w:ascii="宋体" w:hAnsi="宋体" w:cs="宋体"/>
                <w:szCs w:val="21"/>
              </w:rPr>
            </w:pPr>
            <w:r>
              <w:rPr>
                <w:rFonts w:ascii="Times New Roman" w:hAnsi="Times New Roman"/>
                <w:szCs w:val="21"/>
              </w:rPr>
              <w:t>3</w:t>
            </w:r>
          </w:p>
        </w:tc>
        <w:tc>
          <w:tcPr>
            <w:tcW w:w="0" w:type="auto"/>
            <w:tcBorders>
              <w:top w:val="single" w:color="000000" w:sz="8" w:space="0"/>
              <w:left w:val="single" w:color="000000" w:sz="8" w:space="0"/>
              <w:bottom w:val="single" w:color="000000" w:sz="8" w:space="0"/>
              <w:right w:val="single" w:color="000000" w:sz="8" w:space="0"/>
            </w:tcBorders>
          </w:tcPr>
          <w:p w14:paraId="2C156E12">
            <w:pPr>
              <w:rPr>
                <w:rFonts w:ascii="宋体" w:hAnsi="宋体" w:cs="宋体"/>
                <w:szCs w:val="21"/>
              </w:rPr>
            </w:pPr>
            <w:r>
              <w:rPr>
                <w:rFonts w:ascii="Times New Roman" w:hAnsi="Times New Roman"/>
                <w:szCs w:val="21"/>
              </w:rPr>
              <w:t>分项报价或投标总价</w:t>
            </w:r>
            <w:r>
              <w:rPr>
                <w:rFonts w:hint="eastAsia" w:ascii="Times New Roman" w:hAnsi="Times New Roman"/>
                <w:szCs w:val="21"/>
              </w:rPr>
              <w:t>未超过相应</w:t>
            </w:r>
            <w:r>
              <w:rPr>
                <w:rFonts w:ascii="Times New Roman" w:hAnsi="Times New Roman"/>
                <w:szCs w:val="21"/>
              </w:rPr>
              <w:t>预算金额</w:t>
            </w:r>
            <w:r>
              <w:rPr>
                <w:rFonts w:hint="eastAsia" w:ascii="Times New Roman" w:hAnsi="Times New Roman"/>
                <w:szCs w:val="21"/>
              </w:rPr>
              <w:t>或</w:t>
            </w:r>
            <w:r>
              <w:rPr>
                <w:rFonts w:ascii="Times New Roman" w:hAnsi="Times New Roman"/>
                <w:szCs w:val="21"/>
              </w:rPr>
              <w:t>最高投标限价</w:t>
            </w:r>
          </w:p>
        </w:tc>
      </w:tr>
      <w:tr w14:paraId="636D80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D9F424D">
            <w:pPr>
              <w:jc w:val="center"/>
              <w:rPr>
                <w:rFonts w:ascii="宋体" w:hAnsi="宋体" w:cs="宋体"/>
                <w:szCs w:val="21"/>
              </w:rPr>
            </w:pPr>
            <w:r>
              <w:rPr>
                <w:rFonts w:ascii="Times New Roman" w:hAnsi="Times New Roman"/>
                <w:szCs w:val="21"/>
              </w:rPr>
              <w:t>4</w:t>
            </w:r>
          </w:p>
        </w:tc>
        <w:tc>
          <w:tcPr>
            <w:tcW w:w="0" w:type="auto"/>
            <w:tcBorders>
              <w:top w:val="single" w:color="000000" w:sz="8" w:space="0"/>
              <w:left w:val="single" w:color="000000" w:sz="8" w:space="0"/>
              <w:bottom w:val="single" w:color="000000" w:sz="8" w:space="0"/>
              <w:right w:val="single" w:color="000000" w:sz="8" w:space="0"/>
            </w:tcBorders>
          </w:tcPr>
          <w:p w14:paraId="4BB29CDA">
            <w:pPr>
              <w:rPr>
                <w:rFonts w:ascii="宋体" w:hAnsi="宋体" w:cs="宋体"/>
                <w:szCs w:val="21"/>
              </w:rPr>
            </w:pPr>
            <w:r>
              <w:rPr>
                <w:rFonts w:hint="eastAsia" w:ascii="Times New Roman" w:hAnsi="Times New Roman"/>
                <w:szCs w:val="21"/>
              </w:rPr>
              <w:t>如评标委员会认为投标人的报价明显低于其他通过符合性审查投标人的报价，有可能影响产品质量或者不能诚信履约的，应当要求其在评标现场合理的时间内提供书面说明，必要时提交相关证明材料；投标人应证明其报价合理性（评审委员会成员对投标人提供的说明材料判断不一致的，按照“少数服从多数”的原则确定评审委员会的意见）</w:t>
            </w:r>
          </w:p>
        </w:tc>
      </w:tr>
      <w:tr w14:paraId="3AC42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9DE9C4D">
            <w:pPr>
              <w:jc w:val="center"/>
              <w:rPr>
                <w:rFonts w:ascii="宋体" w:hAnsi="宋体" w:cs="宋体"/>
                <w:szCs w:val="21"/>
              </w:rPr>
            </w:pPr>
            <w:r>
              <w:rPr>
                <w:rFonts w:ascii="Times New Roman" w:hAnsi="Times New Roman"/>
                <w:szCs w:val="21"/>
              </w:rPr>
              <w:t>5</w:t>
            </w:r>
          </w:p>
        </w:tc>
        <w:tc>
          <w:tcPr>
            <w:tcW w:w="0" w:type="auto"/>
            <w:tcBorders>
              <w:top w:val="single" w:color="000000" w:sz="8" w:space="0"/>
              <w:left w:val="single" w:color="000000" w:sz="8" w:space="0"/>
              <w:bottom w:val="single" w:color="000000" w:sz="8" w:space="0"/>
              <w:right w:val="single" w:color="000000" w:sz="8" w:space="0"/>
            </w:tcBorders>
          </w:tcPr>
          <w:p w14:paraId="60653324">
            <w:pPr>
              <w:rPr>
                <w:rFonts w:ascii="宋体" w:hAnsi="宋体" w:cs="宋体"/>
                <w:szCs w:val="21"/>
              </w:rPr>
            </w:pPr>
            <w:r>
              <w:rPr>
                <w:rFonts w:ascii="Times New Roman" w:hAnsi="Times New Roman"/>
                <w:szCs w:val="21"/>
              </w:rPr>
              <w:t>投标报价</w:t>
            </w:r>
            <w:r>
              <w:rPr>
                <w:rFonts w:hint="eastAsia" w:ascii="Times New Roman" w:hAnsi="Times New Roman"/>
                <w:szCs w:val="21"/>
              </w:rPr>
              <w:t>满足招标文件报价要求且无</w:t>
            </w:r>
            <w:r>
              <w:rPr>
                <w:rFonts w:ascii="Times New Roman" w:hAnsi="Times New Roman"/>
                <w:szCs w:val="21"/>
              </w:rPr>
              <w:t>缺漏项目</w:t>
            </w:r>
            <w:r>
              <w:rPr>
                <w:rFonts w:ascii="宋体" w:hAnsi="宋体" w:cs="宋体"/>
                <w:szCs w:val="21"/>
              </w:rPr>
              <w:t xml:space="preserve"> </w:t>
            </w:r>
          </w:p>
        </w:tc>
      </w:tr>
      <w:tr w14:paraId="642427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960056F">
            <w:pPr>
              <w:jc w:val="center"/>
              <w:rPr>
                <w:rFonts w:ascii="Times New Roman" w:hAnsi="Times New Roman"/>
                <w:szCs w:val="21"/>
              </w:rPr>
            </w:pPr>
            <w:r>
              <w:rPr>
                <w:rFonts w:hint="eastAsia" w:ascii="Times New Roman" w:hAnsi="Times New Roman"/>
                <w:szCs w:val="21"/>
              </w:rPr>
              <w:t>6</w:t>
            </w:r>
          </w:p>
        </w:tc>
        <w:tc>
          <w:tcPr>
            <w:tcW w:w="0" w:type="auto"/>
            <w:tcBorders>
              <w:top w:val="single" w:color="000000" w:sz="8" w:space="0"/>
              <w:left w:val="single" w:color="000000" w:sz="8" w:space="0"/>
              <w:bottom w:val="single" w:color="000000" w:sz="8" w:space="0"/>
              <w:right w:val="single" w:color="000000" w:sz="8" w:space="0"/>
            </w:tcBorders>
          </w:tcPr>
          <w:p w14:paraId="2D126C27">
            <w:pPr>
              <w:rPr>
                <w:rFonts w:ascii="Times New Roman" w:hAnsi="Times New Roman"/>
                <w:szCs w:val="21"/>
              </w:rPr>
            </w:pPr>
            <w:r>
              <w:rPr>
                <w:rFonts w:hint="eastAsia" w:ascii="Times New Roman" w:hAnsi="Times New Roman"/>
                <w:szCs w:val="21"/>
              </w:rPr>
              <w:t>投标文件不存在</w:t>
            </w:r>
            <w:r>
              <w:rPr>
                <w:rFonts w:hint="eastAsia"/>
              </w:rPr>
              <w:t>对招标文件规定的货物或服务或工程量清单的项目或数量进行修改，评标委员会判定投标响应不满足采购需求的情形</w:t>
            </w:r>
          </w:p>
        </w:tc>
      </w:tr>
      <w:tr w14:paraId="7DF7A7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39974A2">
            <w:pPr>
              <w:jc w:val="center"/>
              <w:rPr>
                <w:rFonts w:ascii="宋体" w:hAnsi="宋体" w:cs="宋体"/>
                <w:szCs w:val="21"/>
              </w:rPr>
            </w:pPr>
            <w:r>
              <w:rPr>
                <w:rFonts w:hint="eastAsia" w:ascii="Times New Roman" w:hAnsi="Times New Roman"/>
                <w:szCs w:val="21"/>
              </w:rPr>
              <w:t>7</w:t>
            </w:r>
          </w:p>
        </w:tc>
        <w:tc>
          <w:tcPr>
            <w:tcW w:w="0" w:type="auto"/>
            <w:tcBorders>
              <w:top w:val="single" w:color="000000" w:sz="8" w:space="0"/>
              <w:left w:val="single" w:color="000000" w:sz="8" w:space="0"/>
              <w:bottom w:val="single" w:color="000000" w:sz="8" w:space="0"/>
              <w:right w:val="single" w:color="000000" w:sz="8" w:space="0"/>
            </w:tcBorders>
          </w:tcPr>
          <w:p w14:paraId="194FE77B">
            <w:pPr>
              <w:rPr>
                <w:rFonts w:ascii="宋体" w:hAnsi="宋体" w:cs="宋体"/>
                <w:szCs w:val="21"/>
              </w:rPr>
            </w:pPr>
            <w:r>
              <w:rPr>
                <w:rFonts w:ascii="Times New Roman" w:hAnsi="Times New Roman"/>
                <w:szCs w:val="21"/>
              </w:rPr>
              <w:t>所投产品、工程、服务在商务、技术等方面实质性满足招标文件要求（是否实质性满足招标文件要求，由评标委员会根据《</w:t>
            </w:r>
            <w:r>
              <w:rPr>
                <w:rFonts w:hint="eastAsia" w:ascii="Times New Roman" w:hAnsi="Times New Roman"/>
                <w:szCs w:val="21"/>
              </w:rPr>
              <w:t>实质性条款响应情况表</w:t>
            </w:r>
            <w:r>
              <w:rPr>
                <w:rFonts w:ascii="Times New Roman" w:hAnsi="Times New Roman"/>
                <w:szCs w:val="21"/>
              </w:rPr>
              <w:t>》做出评判）</w:t>
            </w:r>
          </w:p>
        </w:tc>
      </w:tr>
      <w:tr w14:paraId="3D975F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65E939E">
            <w:pPr>
              <w:jc w:val="center"/>
              <w:rPr>
                <w:rFonts w:ascii="宋体" w:hAnsi="宋体" w:cs="宋体"/>
                <w:szCs w:val="21"/>
              </w:rPr>
            </w:pPr>
            <w:r>
              <w:rPr>
                <w:rFonts w:hint="eastAsia" w:ascii="Times New Roman" w:hAnsi="Times New Roman"/>
                <w:szCs w:val="21"/>
              </w:rPr>
              <w:t>8</w:t>
            </w:r>
          </w:p>
        </w:tc>
        <w:tc>
          <w:tcPr>
            <w:tcW w:w="0" w:type="auto"/>
            <w:tcBorders>
              <w:top w:val="single" w:color="000000" w:sz="8" w:space="0"/>
              <w:left w:val="single" w:color="000000" w:sz="8" w:space="0"/>
              <w:bottom w:val="single" w:color="000000" w:sz="8" w:space="0"/>
              <w:right w:val="single" w:color="000000" w:sz="8" w:space="0"/>
            </w:tcBorders>
          </w:tcPr>
          <w:p w14:paraId="5AF8BB52">
            <w:pPr>
              <w:rPr>
                <w:rFonts w:ascii="宋体" w:hAnsi="宋体" w:cs="宋体"/>
                <w:szCs w:val="21"/>
              </w:rPr>
            </w:pPr>
            <w:r>
              <w:rPr>
                <w:rFonts w:ascii="Times New Roman" w:hAnsi="Times New Roman"/>
                <w:szCs w:val="21"/>
              </w:rPr>
              <w:t>按招标文件所提供的样式填写《投标函》；按招标文件所提供的《政府采购投标及履约承诺函》进行承诺；</w:t>
            </w:r>
            <w:r>
              <w:rPr>
                <w:rFonts w:hint="eastAsia" w:ascii="Times New Roman" w:hAnsi="Times New Roman"/>
                <w:szCs w:val="21"/>
              </w:rPr>
              <w:t>并</w:t>
            </w:r>
            <w:r>
              <w:rPr>
                <w:rFonts w:ascii="Times New Roman" w:hAnsi="Times New Roman"/>
                <w:szCs w:val="21"/>
              </w:rPr>
              <w:t>按招标文件对投标文件组成的要求提供投标文件（投标文件组成完整）</w:t>
            </w:r>
          </w:p>
        </w:tc>
      </w:tr>
      <w:tr w14:paraId="02F55B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44EAE87">
            <w:pPr>
              <w:jc w:val="center"/>
              <w:rPr>
                <w:rFonts w:ascii="宋体" w:hAnsi="宋体" w:cs="宋体"/>
                <w:szCs w:val="21"/>
              </w:rPr>
            </w:pPr>
            <w:r>
              <w:rPr>
                <w:rFonts w:hint="eastAsia" w:ascii="Times New Roman" w:hAnsi="Times New Roman"/>
                <w:szCs w:val="21"/>
              </w:rPr>
              <w:t>9</w:t>
            </w:r>
          </w:p>
        </w:tc>
        <w:tc>
          <w:tcPr>
            <w:tcW w:w="0" w:type="auto"/>
            <w:tcBorders>
              <w:top w:val="single" w:color="000000" w:sz="8" w:space="0"/>
              <w:left w:val="single" w:color="000000" w:sz="8" w:space="0"/>
              <w:bottom w:val="single" w:color="000000" w:sz="8" w:space="0"/>
              <w:right w:val="single" w:color="000000" w:sz="8" w:space="0"/>
            </w:tcBorders>
          </w:tcPr>
          <w:p w14:paraId="06255B63">
            <w:pPr>
              <w:rPr>
                <w:rFonts w:ascii="宋体" w:hAnsi="宋体" w:cs="宋体"/>
                <w:szCs w:val="21"/>
              </w:rPr>
            </w:pPr>
            <w:r>
              <w:rPr>
                <w:rFonts w:hint="eastAsia" w:ascii="Times New Roman" w:hAnsi="Times New Roman"/>
                <w:szCs w:val="21"/>
              </w:rPr>
              <w:t>投标文件不存在列放位置错误，导致属于信息公开内容没有被公开的情形</w:t>
            </w:r>
          </w:p>
        </w:tc>
      </w:tr>
      <w:tr w14:paraId="18C2AD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7C904DB">
            <w:pPr>
              <w:jc w:val="center"/>
              <w:rPr>
                <w:rFonts w:ascii="宋体" w:hAnsi="宋体" w:cs="宋体"/>
                <w:szCs w:val="21"/>
              </w:rPr>
            </w:pPr>
            <w:r>
              <w:rPr>
                <w:rFonts w:hint="eastAsia" w:ascii="Times New Roman" w:hAnsi="Times New Roman"/>
                <w:szCs w:val="21"/>
              </w:rPr>
              <w:t>10</w:t>
            </w:r>
          </w:p>
        </w:tc>
        <w:tc>
          <w:tcPr>
            <w:tcW w:w="0" w:type="auto"/>
            <w:tcBorders>
              <w:top w:val="single" w:color="000000" w:sz="8" w:space="0"/>
              <w:left w:val="single" w:color="000000" w:sz="8" w:space="0"/>
              <w:bottom w:val="single" w:color="000000" w:sz="8" w:space="0"/>
              <w:right w:val="single" w:color="000000" w:sz="8" w:space="0"/>
            </w:tcBorders>
          </w:tcPr>
          <w:p w14:paraId="6B8F59DE">
            <w:pPr>
              <w:rPr>
                <w:rFonts w:ascii="宋体" w:hAnsi="宋体" w:cs="宋体"/>
                <w:szCs w:val="21"/>
              </w:rPr>
            </w:pPr>
            <w:r>
              <w:rPr>
                <w:szCs w:val="21"/>
              </w:rPr>
              <w:t>投标文件</w:t>
            </w:r>
            <w:r>
              <w:rPr>
                <w:rFonts w:hint="eastAsia"/>
                <w:szCs w:val="21"/>
              </w:rPr>
              <w:t>不存在</w:t>
            </w:r>
            <w:r>
              <w:rPr>
                <w:szCs w:val="21"/>
              </w:rPr>
              <w:t>电子文档带病毒</w:t>
            </w:r>
            <w:r>
              <w:rPr>
                <w:rFonts w:hint="eastAsia"/>
                <w:szCs w:val="21"/>
              </w:rPr>
              <w:t>或使</w:t>
            </w:r>
            <w:r>
              <w:rPr>
                <w:szCs w:val="21"/>
              </w:rPr>
              <w:t>用</w:t>
            </w:r>
            <w:r>
              <w:rPr>
                <w:rFonts w:hint="eastAsia"/>
                <w:szCs w:val="21"/>
              </w:rPr>
              <w:t>其他投标人</w:t>
            </w:r>
            <w:r>
              <w:rPr>
                <w:szCs w:val="21"/>
              </w:rPr>
              <w:t>的电子密钥</w:t>
            </w:r>
            <w:r>
              <w:rPr>
                <w:rFonts w:hint="eastAsia"/>
              </w:rPr>
              <w:t>或电子营业执照</w:t>
            </w:r>
            <w:r>
              <w:rPr>
                <w:szCs w:val="21"/>
              </w:rPr>
              <w:t>进行加密</w:t>
            </w:r>
            <w:r>
              <w:rPr>
                <w:rFonts w:hint="eastAsia"/>
                <w:szCs w:val="21"/>
              </w:rPr>
              <w:t>的情形</w:t>
            </w:r>
          </w:p>
        </w:tc>
      </w:tr>
      <w:tr w14:paraId="17B3FD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200AC3C">
            <w:pPr>
              <w:jc w:val="center"/>
              <w:rPr>
                <w:rFonts w:ascii="宋体" w:hAnsi="宋体" w:cs="宋体"/>
                <w:szCs w:val="21"/>
              </w:rPr>
            </w:pPr>
            <w:r>
              <w:rPr>
                <w:rFonts w:hint="eastAsia" w:ascii="Times New Roman" w:hAnsi="Times New Roman"/>
                <w:szCs w:val="21"/>
              </w:rPr>
              <w:t>11</w:t>
            </w:r>
          </w:p>
        </w:tc>
        <w:tc>
          <w:tcPr>
            <w:tcW w:w="0" w:type="auto"/>
            <w:tcBorders>
              <w:top w:val="single" w:color="000000" w:sz="8" w:space="0"/>
              <w:left w:val="single" w:color="000000" w:sz="8" w:space="0"/>
              <w:bottom w:val="single" w:color="000000" w:sz="8" w:space="0"/>
              <w:right w:val="single" w:color="000000" w:sz="8" w:space="0"/>
            </w:tcBorders>
          </w:tcPr>
          <w:p w14:paraId="218CB791">
            <w:pPr>
              <w:rPr>
                <w:rFonts w:cs="宋体" w:asciiTheme="minorEastAsia" w:hAnsiTheme="minorEastAsia" w:eastAsiaTheme="minorEastAsia"/>
                <w:szCs w:val="21"/>
              </w:rPr>
            </w:pPr>
            <w:r>
              <w:rPr>
                <w:rFonts w:asciiTheme="minorEastAsia" w:hAnsiTheme="minorEastAsia" w:eastAsiaTheme="minorEastAsia"/>
              </w:rPr>
              <w:t>不同投标</w:t>
            </w:r>
            <w:r>
              <w:rPr>
                <w:rFonts w:hint="eastAsia" w:asciiTheme="minorEastAsia" w:hAnsiTheme="minorEastAsia" w:eastAsiaTheme="minorEastAsia"/>
              </w:rPr>
              <w:t>人的</w:t>
            </w:r>
            <w:r>
              <w:rPr>
                <w:rFonts w:asciiTheme="minorEastAsia" w:hAnsiTheme="minorEastAsia" w:eastAsiaTheme="minorEastAsia"/>
              </w:rPr>
              <w:t>投标文件</w:t>
            </w:r>
            <w:r>
              <w:rPr>
                <w:rFonts w:hint="eastAsia" w:asciiTheme="minorEastAsia" w:hAnsiTheme="minorEastAsia" w:eastAsiaTheme="minorEastAsia"/>
              </w:rPr>
              <w:t>不存在</w:t>
            </w:r>
            <w:r>
              <w:rPr>
                <w:rFonts w:asciiTheme="minorEastAsia" w:hAnsiTheme="minorEastAsia" w:eastAsiaTheme="minorEastAsia"/>
              </w:rPr>
              <w:t>“文件制作机器码”一致</w:t>
            </w:r>
            <w:r>
              <w:rPr>
                <w:rFonts w:hint="eastAsia" w:asciiTheme="minorEastAsia" w:hAnsiTheme="minorEastAsia" w:eastAsiaTheme="minorEastAsia"/>
              </w:rPr>
              <w:t>或</w:t>
            </w:r>
            <w:r>
              <w:rPr>
                <w:rFonts w:hint="eastAsia" w:ascii="Times New Roman" w:hAnsi="Times New Roman"/>
                <w:szCs w:val="24"/>
              </w:rPr>
              <w:t>“文件创建标识码”一致的情形</w:t>
            </w:r>
          </w:p>
        </w:tc>
      </w:tr>
      <w:tr w14:paraId="1AB3FE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8D48268">
            <w:pPr>
              <w:jc w:val="center"/>
              <w:rPr>
                <w:rFonts w:ascii="宋体" w:hAnsi="宋体" w:cs="宋体"/>
                <w:szCs w:val="21"/>
              </w:rPr>
            </w:pPr>
            <w:r>
              <w:rPr>
                <w:rFonts w:hint="eastAsia" w:ascii="Times New Roman" w:hAnsi="Times New Roman"/>
                <w:szCs w:val="21"/>
              </w:rPr>
              <w:t>12</w:t>
            </w:r>
          </w:p>
        </w:tc>
        <w:tc>
          <w:tcPr>
            <w:tcW w:w="0" w:type="auto"/>
            <w:tcBorders>
              <w:top w:val="single" w:color="000000" w:sz="8" w:space="0"/>
              <w:left w:val="single" w:color="000000" w:sz="8" w:space="0"/>
              <w:bottom w:val="single" w:color="000000" w:sz="8" w:space="0"/>
              <w:right w:val="single" w:color="000000" w:sz="8" w:space="0"/>
            </w:tcBorders>
          </w:tcPr>
          <w:p w14:paraId="00C4D137">
            <w:pPr>
              <w:rPr>
                <w:rFonts w:ascii="宋体" w:hAnsi="宋体" w:cs="宋体"/>
                <w:szCs w:val="21"/>
              </w:rPr>
            </w:pPr>
            <w:r>
              <w:rPr>
                <w:rFonts w:hint="eastAsia" w:ascii="Times New Roman" w:hAnsi="Times New Roman"/>
                <w:szCs w:val="24"/>
              </w:rPr>
              <w:t>法律、法规、规章、规范性文件规定的其他情形</w:t>
            </w:r>
          </w:p>
        </w:tc>
      </w:tr>
    </w:tbl>
    <w:p w14:paraId="72F084BF">
      <w:pPr>
        <w:spacing w:line="324" w:lineRule="auto"/>
        <w:ind w:firstLine="420"/>
        <w:rPr>
          <w:rFonts w:ascii="Times New Roman" w:hAnsi="Times New Roman"/>
          <w:b/>
          <w:color w:val="FF0000"/>
          <w:szCs w:val="21"/>
        </w:rPr>
      </w:pPr>
      <w:r>
        <w:rPr>
          <w:rFonts w:hint="eastAsia" w:ascii="Times New Roman" w:hAnsi="Times New Roman"/>
          <w:b/>
          <w:color w:val="FF0000"/>
          <w:szCs w:val="21"/>
        </w:rPr>
        <w:t>特别说明：</w:t>
      </w:r>
    </w:p>
    <w:p w14:paraId="4C739960">
      <w:pPr>
        <w:spacing w:line="324" w:lineRule="auto"/>
        <w:ind w:firstLine="42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1、投标人须在开标当日的开标时间至解密截止时间内完成投标文件在线解密，逾期未解密的作无效处理。</w:t>
      </w:r>
    </w:p>
    <w:p w14:paraId="58117128">
      <w:pPr>
        <w:spacing w:line="324" w:lineRule="auto"/>
        <w:ind w:firstLine="420"/>
        <w:rPr>
          <w:rFonts w:asciiTheme="minorEastAsia" w:hAnsiTheme="minorEastAsia" w:eastAsiaTheme="minorEastAsia"/>
          <w:b/>
          <w:color w:val="FF0000"/>
          <w:szCs w:val="21"/>
        </w:rPr>
      </w:pPr>
      <w:r>
        <w:rPr>
          <w:rFonts w:hint="eastAsia" w:asciiTheme="minorEastAsia" w:hAnsiTheme="minorEastAsia" w:eastAsiaTheme="minorEastAsia"/>
          <w:b/>
          <w:color w:val="FF0000"/>
          <w:szCs w:val="21"/>
        </w:rPr>
        <w:t>2、投标人不符合《资格性审查表》或《符合性审查表》中任一情形的，初审不通过，投标无效。</w:t>
      </w:r>
    </w:p>
    <w:p w14:paraId="50726A45">
      <w:pPr>
        <w:spacing w:line="324" w:lineRule="auto"/>
        <w:ind w:firstLine="420"/>
        <w:rPr>
          <w:rFonts w:asciiTheme="minorEastAsia" w:hAnsiTheme="minorEastAsia" w:eastAsiaTheme="minorEastAsia"/>
          <w:b/>
          <w:color w:val="FF0000"/>
          <w:szCs w:val="21"/>
        </w:rPr>
      </w:pPr>
    </w:p>
    <w:p w14:paraId="126C03D1">
      <w:pPr>
        <w:pStyle w:val="37"/>
        <w:jc w:val="center"/>
        <w:outlineLvl w:val="1"/>
        <w:rPr>
          <w:rFonts w:ascii="黑体" w:hAnsi="黑体" w:eastAsia="黑体"/>
          <w:sz w:val="40"/>
          <w:szCs w:val="40"/>
        </w:rPr>
      </w:pPr>
      <w:r>
        <w:rPr>
          <w:rFonts w:hint="eastAsia" w:ascii="黑体" w:hAnsi="黑体" w:eastAsia="黑体"/>
          <w:sz w:val="40"/>
          <w:szCs w:val="40"/>
        </w:rPr>
        <w:t>评标信息</w:t>
      </w:r>
    </w:p>
    <w:tbl>
      <w:tblPr>
        <w:tblStyle w:val="42"/>
        <w:tblW w:w="9072" w:type="dxa"/>
        <w:jc w:val="center"/>
        <w:tblCellSpacing w:w="0" w:type="dxa"/>
        <w:tblLayout w:type="autofit"/>
        <w:tblCellMar>
          <w:top w:w="45" w:type="dxa"/>
          <w:left w:w="45" w:type="dxa"/>
          <w:bottom w:w="45" w:type="dxa"/>
          <w:right w:w="45" w:type="dxa"/>
        </w:tblCellMar>
      </w:tblPr>
      <w:tblGrid>
        <w:gridCol w:w="8824"/>
        <w:gridCol w:w="248"/>
      </w:tblGrid>
      <w:tr w14:paraId="14242F45">
        <w:tblPrEx>
          <w:tblCellMar>
            <w:top w:w="45" w:type="dxa"/>
            <w:left w:w="45" w:type="dxa"/>
            <w:bottom w:w="45" w:type="dxa"/>
            <w:right w:w="45" w:type="dxa"/>
          </w:tblCellMar>
        </w:tblPrEx>
        <w:trPr>
          <w:tblCellSpacing w:w="0" w:type="dxa"/>
          <w:jc w:val="center"/>
        </w:trPr>
        <w:tc>
          <w:tcPr>
            <w:tcW w:w="0" w:type="auto"/>
            <w:tcBorders>
              <w:top w:val="nil"/>
              <w:left w:val="nil"/>
              <w:bottom w:val="nil"/>
              <w:right w:val="nil"/>
            </w:tcBorders>
            <w:vAlign w:val="center"/>
          </w:tcPr>
          <w:p w14:paraId="5C37471E">
            <w:pPr>
              <w:rPr>
                <w:rFonts w:ascii="宋体" w:hAnsi="宋体" w:cs="宋体"/>
                <w:b/>
                <w:bCs/>
                <w:sz w:val="24"/>
                <w:szCs w:val="24"/>
              </w:rPr>
            </w:pPr>
            <w:r>
              <w:rPr>
                <w:b/>
                <w:bCs/>
              </w:rPr>
              <w:t>评标方法：综合评分法（新价格分算法）</w:t>
            </w:r>
          </w:p>
        </w:tc>
        <w:tc>
          <w:tcPr>
            <w:tcW w:w="0" w:type="auto"/>
            <w:tcBorders>
              <w:top w:val="nil"/>
              <w:left w:val="nil"/>
              <w:bottom w:val="nil"/>
              <w:right w:val="nil"/>
            </w:tcBorders>
            <w:vAlign w:val="center"/>
          </w:tcPr>
          <w:p w14:paraId="6CB7E236">
            <w:pPr>
              <w:jc w:val="right"/>
              <w:rPr>
                <w:rFonts w:ascii="宋体" w:hAnsi="宋体" w:cs="宋体"/>
                <w:b/>
                <w:bCs/>
                <w:sz w:val="24"/>
                <w:szCs w:val="24"/>
              </w:rPr>
            </w:pPr>
          </w:p>
        </w:tc>
      </w:tr>
      <w:tr w14:paraId="00AC151F">
        <w:tblPrEx>
          <w:tblCellMar>
            <w:top w:w="45" w:type="dxa"/>
            <w:left w:w="45" w:type="dxa"/>
            <w:bottom w:w="45" w:type="dxa"/>
            <w:right w:w="45" w:type="dxa"/>
          </w:tblCellMar>
        </w:tblPrEx>
        <w:trPr>
          <w:tblCellSpacing w:w="0" w:type="dxa"/>
          <w:jc w:val="center"/>
        </w:trPr>
        <w:tc>
          <w:tcPr>
            <w:tcW w:w="0" w:type="auto"/>
            <w:gridSpan w:val="2"/>
            <w:tcBorders>
              <w:top w:val="nil"/>
              <w:left w:val="nil"/>
              <w:bottom w:val="nil"/>
              <w:right w:val="nil"/>
            </w:tcBorders>
            <w:vAlign w:val="center"/>
          </w:tcPr>
          <w:p w14:paraId="7370214C">
            <w:pPr>
              <w:pStyle w:val="37"/>
              <w:spacing w:line="324" w:lineRule="auto"/>
              <w:ind w:firstLine="420"/>
              <w:rPr>
                <w:sz w:val="21"/>
                <w:szCs w:val="21"/>
              </w:rPr>
            </w:pPr>
            <w:r>
              <w:rPr>
                <w:sz w:val="21"/>
                <w:szCs w:val="21"/>
              </w:rPr>
              <w:t>综合评分法，是指</w:t>
            </w:r>
            <w:r>
              <w:rPr>
                <w:rFonts w:hint="eastAsia"/>
                <w:sz w:val="21"/>
                <w:szCs w:val="21"/>
              </w:rPr>
              <w:t>在最大限度地满足招标文件实质性要求的前提下，按照招标文件中规定的各项因素进行综合评审，评标总得分排名前列的投标人，作为推荐的候选中标供应商</w:t>
            </w:r>
            <w:r>
              <w:rPr>
                <w:sz w:val="21"/>
                <w:szCs w:val="21"/>
              </w:rPr>
              <w:t xml:space="preserve">。 </w:t>
            </w:r>
          </w:p>
          <w:p w14:paraId="14A105D1">
            <w:pPr>
              <w:pStyle w:val="37"/>
              <w:ind w:firstLine="420"/>
              <w:rPr>
                <w:sz w:val="21"/>
                <w:szCs w:val="21"/>
              </w:rPr>
            </w:pPr>
            <w:r>
              <w:rPr>
                <w:sz w:val="21"/>
                <w:szCs w:val="21"/>
              </w:rPr>
              <w:t>价格分计算方法：</w:t>
            </w:r>
          </w:p>
          <w:p w14:paraId="577B24BB">
            <w:pPr>
              <w:pStyle w:val="37"/>
              <w:spacing w:line="324" w:lineRule="auto"/>
              <w:ind w:left="420"/>
              <w:rPr>
                <w:sz w:val="21"/>
                <w:szCs w:val="21"/>
              </w:rPr>
            </w:pPr>
            <w:r>
              <w:rPr>
                <w:sz w:val="21"/>
                <w:szCs w:val="21"/>
              </w:rPr>
              <w:t xml:space="preserve">采用低价优先法计算，即满足招标文件要求且投标价格最低的投标报价为评标基准价，其价格分为满分。其他投标人的价格分统一按照下列公式计算： </w:t>
            </w:r>
            <w:r>
              <w:rPr>
                <w:sz w:val="21"/>
                <w:szCs w:val="21"/>
              </w:rPr>
              <w:br w:type="textWrapping"/>
            </w:r>
            <w:r>
              <w:rPr>
                <w:sz w:val="21"/>
                <w:szCs w:val="21"/>
              </w:rPr>
              <w:t xml:space="preserve">投标报价得分=(评标基准价／投标报价)×100 </w:t>
            </w:r>
            <w:r>
              <w:rPr>
                <w:sz w:val="21"/>
                <w:szCs w:val="21"/>
              </w:rPr>
              <w:br w:type="textWrapping"/>
            </w:r>
            <w:r>
              <w:rPr>
                <w:sz w:val="21"/>
                <w:szCs w:val="21"/>
              </w:rPr>
              <w:t xml:space="preserve">评标总得分＝F1×A1＋F2×A2＋……＋Fn×An </w:t>
            </w:r>
            <w:r>
              <w:rPr>
                <w:sz w:val="21"/>
                <w:szCs w:val="21"/>
              </w:rPr>
              <w:br w:type="textWrapping"/>
            </w:r>
            <w:r>
              <w:rPr>
                <w:sz w:val="21"/>
                <w:szCs w:val="21"/>
              </w:rPr>
              <w:t xml:space="preserve">F1、F2……Fn分别为各项评审因素的得分； </w:t>
            </w:r>
            <w:r>
              <w:rPr>
                <w:sz w:val="21"/>
                <w:szCs w:val="21"/>
              </w:rPr>
              <w:br w:type="textWrapping"/>
            </w:r>
            <w:r>
              <w:rPr>
                <w:sz w:val="21"/>
                <w:szCs w:val="21"/>
              </w:rPr>
              <w:t xml:space="preserve">A1、A2、……An 分别为各项评审因素所占的权重(A1＋A2＋……＋An＝1)。 </w:t>
            </w:r>
            <w:r>
              <w:rPr>
                <w:sz w:val="21"/>
                <w:szCs w:val="21"/>
              </w:rPr>
              <w:br w:type="textWrapping"/>
            </w:r>
            <w:r>
              <w:rPr>
                <w:sz w:val="21"/>
                <w:szCs w:val="21"/>
              </w:rPr>
              <w:t xml:space="preserve">评标过程中，不得去掉报价中的最高报价和最低报价。 </w:t>
            </w:r>
            <w:r>
              <w:rPr>
                <w:sz w:val="21"/>
                <w:szCs w:val="21"/>
              </w:rPr>
              <w:br w:type="textWrapping"/>
            </w:r>
            <w:r>
              <w:rPr>
                <w:rFonts w:hint="eastAsia"/>
                <w:sz w:val="21"/>
                <w:szCs w:val="21"/>
              </w:rPr>
              <w:t>因落实政府采购政策进行价格调整的，以调整后的价格计算评标基准价和投标报价</w:t>
            </w:r>
            <w:r>
              <w:rPr>
                <w:sz w:val="21"/>
                <w:szCs w:val="21"/>
              </w:rPr>
              <w:t xml:space="preserve">。 </w:t>
            </w:r>
          </w:p>
        </w:tc>
      </w:tr>
    </w:tbl>
    <w:p w14:paraId="172CE6AB">
      <w:pPr>
        <w:rPr>
          <w:vanish/>
        </w:rPr>
      </w:pPr>
    </w:p>
    <w:tbl>
      <w:tblPr>
        <w:tblStyle w:val="42"/>
        <w:tblW w:w="963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680"/>
        <w:gridCol w:w="680"/>
        <w:gridCol w:w="2835"/>
        <w:gridCol w:w="681"/>
        <w:gridCol w:w="4763"/>
      </w:tblGrid>
      <w:tr w14:paraId="5D3E5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21FCCBF">
            <w:pPr>
              <w:keepNext w:val="0"/>
              <w:keepLines w:val="0"/>
              <w:pageBreakBefore w:val="0"/>
              <w:kinsoku/>
              <w:overflowPunct/>
              <w:topLinePunct w:val="0"/>
              <w:bidi w:val="0"/>
              <w:spacing w:line="360"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4196"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200B90AA">
            <w:pPr>
              <w:keepNext w:val="0"/>
              <w:keepLines w:val="0"/>
              <w:pageBreakBefore w:val="0"/>
              <w:kinsoku/>
              <w:overflowPunct/>
              <w:topLinePunct w:val="0"/>
              <w:bidi w:val="0"/>
              <w:spacing w:line="360"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评分项</w:t>
            </w:r>
          </w:p>
        </w:tc>
        <w:tc>
          <w:tcPr>
            <w:tcW w:w="4763"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DF1322">
            <w:pPr>
              <w:keepNext w:val="0"/>
              <w:keepLines w:val="0"/>
              <w:pageBreakBefore w:val="0"/>
              <w:kinsoku/>
              <w:overflowPunct/>
              <w:topLinePunct w:val="0"/>
              <w:bidi w:val="0"/>
              <w:spacing w:line="360" w:lineRule="auto"/>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权重(%)</w:t>
            </w:r>
          </w:p>
        </w:tc>
      </w:tr>
      <w:tr w14:paraId="0E0B27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right w:val="single" w:color="000000" w:sz="8" w:space="0"/>
            </w:tcBorders>
          </w:tcPr>
          <w:p w14:paraId="16260801">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1</w:t>
            </w:r>
          </w:p>
        </w:tc>
        <w:tc>
          <w:tcPr>
            <w:tcW w:w="4196" w:type="dxa"/>
            <w:gridSpan w:val="3"/>
            <w:tcBorders>
              <w:top w:val="single" w:color="000000" w:sz="8" w:space="0"/>
              <w:left w:val="single" w:color="000000" w:sz="8" w:space="0"/>
              <w:bottom w:val="single" w:color="000000" w:sz="8" w:space="0"/>
              <w:right w:val="single" w:color="000000" w:sz="8" w:space="0"/>
            </w:tcBorders>
          </w:tcPr>
          <w:p w14:paraId="2DB1B06D">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价格</w:t>
            </w:r>
          </w:p>
        </w:tc>
        <w:tc>
          <w:tcPr>
            <w:tcW w:w="4763" w:type="dxa"/>
            <w:tcBorders>
              <w:top w:val="single" w:color="000000" w:sz="8" w:space="0"/>
              <w:left w:val="single" w:color="000000" w:sz="8" w:space="0"/>
              <w:bottom w:val="single" w:color="000000" w:sz="8" w:space="0"/>
              <w:right w:val="single" w:color="000000" w:sz="8" w:space="0"/>
            </w:tcBorders>
          </w:tcPr>
          <w:p w14:paraId="78075CD2">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10</w:t>
            </w:r>
          </w:p>
        </w:tc>
      </w:tr>
      <w:tr w14:paraId="15CCB2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tcPr>
          <w:p w14:paraId="2AA0FBFD">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2</w:t>
            </w:r>
          </w:p>
        </w:tc>
        <w:tc>
          <w:tcPr>
            <w:tcW w:w="4196" w:type="dxa"/>
            <w:gridSpan w:val="3"/>
            <w:tcBorders>
              <w:top w:val="single" w:color="000000" w:sz="8" w:space="0"/>
              <w:left w:val="single" w:color="000000" w:sz="8" w:space="0"/>
              <w:bottom w:val="single" w:color="000000" w:sz="8" w:space="0"/>
              <w:right w:val="single" w:color="000000" w:sz="8" w:space="0"/>
            </w:tcBorders>
          </w:tcPr>
          <w:p w14:paraId="5DD7E9DB">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技术</w:t>
            </w:r>
          </w:p>
        </w:tc>
        <w:tc>
          <w:tcPr>
            <w:tcW w:w="4763" w:type="dxa"/>
            <w:tcBorders>
              <w:top w:val="single" w:color="000000" w:sz="8" w:space="0"/>
              <w:left w:val="single" w:color="000000" w:sz="8" w:space="0"/>
              <w:bottom w:val="single" w:color="000000" w:sz="8" w:space="0"/>
              <w:right w:val="single" w:color="000000" w:sz="8" w:space="0"/>
            </w:tcBorders>
          </w:tcPr>
          <w:p w14:paraId="7DC67B35">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35</w:t>
            </w:r>
          </w:p>
        </w:tc>
      </w:tr>
      <w:tr w14:paraId="1609DE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2A5DF4D8">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4D8ACB9">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43A8B5C">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69F2A6F">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权重(%)</w:t>
            </w:r>
          </w:p>
        </w:tc>
        <w:tc>
          <w:tcPr>
            <w:tcW w:w="476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9B062B">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评分准则</w:t>
            </w:r>
          </w:p>
        </w:tc>
      </w:tr>
      <w:tr w14:paraId="2EB0E0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575" w:hRule="atLeast"/>
          <w:jc w:val="center"/>
        </w:trPr>
        <w:tc>
          <w:tcPr>
            <w:tcW w:w="0" w:type="auto"/>
            <w:vMerge w:val="continue"/>
            <w:tcBorders>
              <w:left w:val="single" w:color="000000" w:sz="8" w:space="0"/>
              <w:right w:val="single" w:color="000000" w:sz="8" w:space="0"/>
            </w:tcBorders>
            <w:vAlign w:val="center"/>
          </w:tcPr>
          <w:p w14:paraId="3C0BD21C">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tcPr>
          <w:p w14:paraId="5FF1313F">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835" w:type="dxa"/>
            <w:tcBorders>
              <w:top w:val="single" w:color="000000" w:sz="8" w:space="0"/>
              <w:left w:val="single" w:color="000000" w:sz="8" w:space="0"/>
              <w:bottom w:val="single" w:color="000000" w:sz="8" w:space="0"/>
              <w:right w:val="single" w:color="000000" w:sz="8" w:space="0"/>
            </w:tcBorders>
          </w:tcPr>
          <w:p w14:paraId="2B0A8D43">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策划</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tcPr>
          <w:p w14:paraId="00384088">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4763" w:type="dxa"/>
            <w:tcBorders>
              <w:top w:val="single" w:color="000000" w:sz="8" w:space="0"/>
              <w:left w:val="single" w:color="000000" w:sz="8" w:space="0"/>
              <w:bottom w:val="single" w:color="000000" w:sz="8" w:space="0"/>
              <w:right w:val="single" w:color="000000" w:sz="8" w:space="0"/>
            </w:tcBorders>
          </w:tcPr>
          <w:p w14:paraId="333178A4">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（一）评分内容：</w:t>
            </w:r>
          </w:p>
          <w:p w14:paraId="5E2A1E84">
            <w:pPr>
              <w:keepNext w:val="0"/>
              <w:keepLines w:val="0"/>
              <w:pageBreakBefore w:val="0"/>
              <w:kinsoku/>
              <w:overflowPunct/>
              <w:topLinePunct w:val="0"/>
              <w:autoSpaceDE w:val="0"/>
              <w:autoSpaceDN w:val="0"/>
              <w:bidi w:val="0"/>
              <w:adjustRightInd w:val="0"/>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考察投标人提供的项目</w:t>
            </w:r>
            <w:r>
              <w:rPr>
                <w:rFonts w:hint="eastAsia" w:ascii="宋体" w:hAnsi="宋体" w:cs="宋体"/>
                <w:kern w:val="0"/>
                <w:sz w:val="21"/>
                <w:szCs w:val="21"/>
                <w:lang w:val="en-US" w:eastAsia="zh-CN"/>
              </w:rPr>
              <w:t>策划</w:t>
            </w:r>
            <w:r>
              <w:rPr>
                <w:rFonts w:hint="eastAsia" w:ascii="宋体" w:hAnsi="宋体" w:eastAsia="宋体" w:cs="宋体"/>
                <w:kern w:val="0"/>
                <w:sz w:val="21"/>
                <w:szCs w:val="21"/>
              </w:rPr>
              <w:t>方案，包含以下内容：</w:t>
            </w:r>
          </w:p>
          <w:p w14:paraId="7AF5DEE1">
            <w:pPr>
              <w:keepNext w:val="0"/>
              <w:keepLines w:val="0"/>
              <w:pageBreakBefore w:val="0"/>
              <w:numPr>
                <w:ilvl w:val="0"/>
                <w:numId w:val="0"/>
              </w:numPr>
              <w:kinsoku/>
              <w:overflowPunct/>
              <w:topLinePunct w:val="0"/>
              <w:autoSpaceDE w:val="0"/>
              <w:autoSpaceDN w:val="0"/>
              <w:bidi w:val="0"/>
              <w:adjustRightInd w:val="0"/>
              <w:spacing w:line="360" w:lineRule="auto"/>
              <w:textAlignment w:val="auto"/>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lang w:val="en-US" w:eastAsia="zh-CN" w:bidi="ar-SA"/>
              </w:rPr>
              <w:t>1、</w:t>
            </w:r>
            <w:r>
              <w:rPr>
                <w:rFonts w:hint="eastAsia" w:ascii="宋体" w:hAnsi="宋体" w:eastAsia="宋体" w:cs="宋体"/>
                <w:kern w:val="0"/>
                <w:sz w:val="21"/>
                <w:szCs w:val="21"/>
                <w:lang w:eastAsia="zh-CN"/>
              </w:rPr>
              <w:t>项目分析及理解；</w:t>
            </w:r>
          </w:p>
          <w:p w14:paraId="27C679CF">
            <w:pPr>
              <w:keepNext w:val="0"/>
              <w:keepLines w:val="0"/>
              <w:pageBreakBefore w:val="0"/>
              <w:numPr>
                <w:ilvl w:val="0"/>
                <w:numId w:val="0"/>
              </w:numPr>
              <w:kinsoku/>
              <w:overflowPunct/>
              <w:topLinePunct w:val="0"/>
              <w:autoSpaceDE w:val="0"/>
              <w:autoSpaceDN w:val="0"/>
              <w:bidi w:val="0"/>
              <w:adjustRightInd w:val="0"/>
              <w:spacing w:line="360" w:lineRule="auto"/>
              <w:textAlignment w:val="auto"/>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lang w:val="en-US" w:eastAsia="zh-CN" w:bidi="ar-SA"/>
              </w:rPr>
              <w:t>2、</w:t>
            </w:r>
            <w:r>
              <w:rPr>
                <w:rFonts w:hint="eastAsia" w:ascii="宋体" w:hAnsi="宋体" w:eastAsia="宋体" w:cs="宋体"/>
                <w:b w:val="0"/>
                <w:bCs w:val="0"/>
                <w:kern w:val="0"/>
                <w:sz w:val="21"/>
                <w:szCs w:val="21"/>
                <w:lang w:eastAsia="zh-CN"/>
              </w:rPr>
              <w:t>策划概念分析；</w:t>
            </w:r>
          </w:p>
          <w:p w14:paraId="08F30DEB">
            <w:pPr>
              <w:keepNext w:val="0"/>
              <w:keepLines w:val="0"/>
              <w:pageBreakBefore w:val="0"/>
              <w:numPr>
                <w:ilvl w:val="0"/>
                <w:numId w:val="0"/>
              </w:numPr>
              <w:kinsoku/>
              <w:overflowPunct/>
              <w:topLinePunct w:val="0"/>
              <w:autoSpaceDE w:val="0"/>
              <w:autoSpaceDN w:val="0"/>
              <w:bidi w:val="0"/>
              <w:adjustRightInd w:val="0"/>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3、</w:t>
            </w:r>
            <w:r>
              <w:rPr>
                <w:rFonts w:hint="eastAsia" w:ascii="宋体" w:hAnsi="宋体" w:eastAsia="宋体" w:cs="宋体"/>
                <w:b w:val="0"/>
                <w:bCs w:val="0"/>
                <w:spacing w:val="0"/>
                <w:kern w:val="0"/>
                <w:sz w:val="21"/>
                <w:szCs w:val="21"/>
                <w:lang w:val="en-US" w:eastAsia="zh-CN"/>
              </w:rPr>
              <w:t>整体规划布局图、路线图</w:t>
            </w:r>
            <w:r>
              <w:rPr>
                <w:rFonts w:hint="eastAsia" w:ascii="宋体" w:hAnsi="宋体" w:eastAsia="宋体" w:cs="宋体"/>
                <w:kern w:val="0"/>
                <w:sz w:val="21"/>
                <w:szCs w:val="21"/>
              </w:rPr>
              <w:t>；</w:t>
            </w:r>
          </w:p>
          <w:p w14:paraId="5D0CF425">
            <w:pPr>
              <w:keepNext w:val="0"/>
              <w:keepLines w:val="0"/>
              <w:pageBreakBefore w:val="0"/>
              <w:numPr>
                <w:ilvl w:val="0"/>
                <w:numId w:val="0"/>
              </w:numPr>
              <w:kinsoku/>
              <w:overflowPunct/>
              <w:topLinePunct w:val="0"/>
              <w:autoSpaceDE w:val="0"/>
              <w:autoSpaceDN w:val="0"/>
              <w:bidi w:val="0"/>
              <w:adjustRightInd w:val="0"/>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w:t>
            </w:r>
            <w:r>
              <w:rPr>
                <w:rFonts w:hint="eastAsia" w:ascii="宋体" w:hAnsi="宋体" w:cs="宋体"/>
                <w:b w:val="0"/>
                <w:bCs w:val="0"/>
                <w:kern w:val="0"/>
                <w:sz w:val="21"/>
                <w:szCs w:val="21"/>
                <w:lang w:eastAsia="zh-CN"/>
              </w:rPr>
              <w:t>光影作品</w:t>
            </w:r>
            <w:r>
              <w:rPr>
                <w:rFonts w:hint="eastAsia" w:ascii="宋体" w:hAnsi="宋体" w:eastAsia="宋体" w:cs="宋体"/>
                <w:b w:val="0"/>
                <w:bCs w:val="0"/>
                <w:kern w:val="0"/>
                <w:sz w:val="21"/>
                <w:szCs w:val="21"/>
                <w:lang w:eastAsia="zh-CN"/>
              </w:rPr>
              <w:t>介绍及点位实景图</w:t>
            </w:r>
            <w:r>
              <w:rPr>
                <w:rFonts w:hint="eastAsia" w:ascii="宋体" w:hAnsi="宋体" w:eastAsia="宋体" w:cs="宋体"/>
                <w:kern w:val="0"/>
                <w:sz w:val="21"/>
                <w:szCs w:val="21"/>
              </w:rPr>
              <w:t>；</w:t>
            </w:r>
          </w:p>
          <w:p w14:paraId="6DED531E">
            <w:pPr>
              <w:keepNext w:val="0"/>
              <w:keepLines w:val="0"/>
              <w:pageBreakBefore w:val="0"/>
              <w:numPr>
                <w:ilvl w:val="0"/>
                <w:numId w:val="0"/>
              </w:numPr>
              <w:kinsoku/>
              <w:overflowPunct/>
              <w:topLinePunct w:val="0"/>
              <w:autoSpaceDE w:val="0"/>
              <w:autoSpaceDN w:val="0"/>
              <w:bidi w:val="0"/>
              <w:adjustRightInd/>
              <w:spacing w:line="36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5、</w:t>
            </w:r>
            <w:r>
              <w:rPr>
                <w:rFonts w:hint="eastAsia" w:ascii="宋体" w:hAnsi="宋体" w:eastAsia="宋体" w:cs="宋体"/>
                <w:b w:val="0"/>
                <w:bCs w:val="0"/>
                <w:kern w:val="0"/>
                <w:sz w:val="21"/>
                <w:szCs w:val="21"/>
                <w:lang w:eastAsia="zh-CN"/>
              </w:rPr>
              <w:t>活动组织介绍及点位实景图。</w:t>
            </w:r>
          </w:p>
          <w:p w14:paraId="3CF9A9D0">
            <w:pPr>
              <w:keepNext w:val="0"/>
              <w:keepLines w:val="0"/>
              <w:pageBreakBefore w:val="0"/>
              <w:kinsoku/>
              <w:overflowPunct/>
              <w:topLinePunct w:val="0"/>
              <w:autoSpaceDE w:val="0"/>
              <w:autoSpaceDN w:val="0"/>
              <w:bidi w:val="0"/>
              <w:adjustRightInd w:val="0"/>
              <w:spacing w:line="360" w:lineRule="auto"/>
              <w:jc w:val="left"/>
              <w:textAlignment w:val="auto"/>
              <w:rPr>
                <w:rFonts w:hint="eastAsia" w:ascii="宋体" w:hAnsi="宋体" w:eastAsia="宋体" w:cs="宋体"/>
                <w:kern w:val="0"/>
                <w:sz w:val="21"/>
                <w:szCs w:val="21"/>
              </w:rPr>
            </w:pPr>
          </w:p>
          <w:p w14:paraId="037158D3">
            <w:pPr>
              <w:keepNext w:val="0"/>
              <w:keepLines w:val="0"/>
              <w:pageBreakBefore w:val="0"/>
              <w:kinsoku/>
              <w:overflowPunct/>
              <w:topLinePunct w:val="0"/>
              <w:autoSpaceDE w:val="0"/>
              <w:autoSpaceDN w:val="0"/>
              <w:bidi w:val="0"/>
              <w:adjustRightInd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（二）评分标准：</w:t>
            </w:r>
          </w:p>
          <w:p w14:paraId="1EE4F3AA">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方案包含以上一项内容得</w:t>
            </w:r>
            <w:r>
              <w:rPr>
                <w:rFonts w:hint="eastAsia" w:ascii="宋体" w:hAnsi="宋体" w:eastAsia="宋体" w:cs="宋体"/>
                <w:sz w:val="21"/>
                <w:szCs w:val="21"/>
                <w:lang w:val="en-US" w:eastAsia="zh-CN"/>
              </w:rPr>
              <w:t>15</w:t>
            </w:r>
            <w:r>
              <w:rPr>
                <w:rFonts w:hint="eastAsia" w:ascii="宋体" w:hAnsi="宋体" w:eastAsia="宋体" w:cs="宋体"/>
                <w:sz w:val="21"/>
                <w:szCs w:val="21"/>
              </w:rPr>
              <w:t>分</w:t>
            </w:r>
            <w:r>
              <w:rPr>
                <w:rFonts w:hint="eastAsia" w:ascii="宋体" w:hAnsi="宋体" w:eastAsia="宋体" w:cs="宋体"/>
                <w:sz w:val="21"/>
                <w:szCs w:val="21"/>
                <w:lang w:eastAsia="zh-CN"/>
              </w:rPr>
              <w:t>，最高</w:t>
            </w:r>
            <w:r>
              <w:rPr>
                <w:rFonts w:hint="eastAsia" w:ascii="宋体" w:hAnsi="宋体" w:eastAsia="宋体" w:cs="宋体"/>
                <w:sz w:val="21"/>
                <w:szCs w:val="21"/>
                <w:lang w:val="en-US" w:eastAsia="zh-CN"/>
              </w:rPr>
              <w:t>75分</w:t>
            </w:r>
            <w:r>
              <w:rPr>
                <w:rFonts w:hint="eastAsia" w:ascii="宋体" w:hAnsi="宋体" w:eastAsia="宋体" w:cs="宋体"/>
                <w:sz w:val="21"/>
                <w:szCs w:val="21"/>
              </w:rPr>
              <w:t>。在此基础上，根据方案响应情况进一步评审：</w:t>
            </w:r>
          </w:p>
          <w:p w14:paraId="455DEA5F">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方案内容</w:t>
            </w:r>
            <w:r>
              <w:rPr>
                <w:rFonts w:hint="eastAsia" w:ascii="宋体" w:hAnsi="宋体" w:eastAsia="宋体" w:cs="宋体"/>
                <w:sz w:val="21"/>
                <w:szCs w:val="21"/>
              </w:rPr>
              <w:t>全面、具体，</w:t>
            </w:r>
            <w:r>
              <w:rPr>
                <w:rFonts w:hint="eastAsia" w:ascii="宋体" w:hAnsi="宋体" w:eastAsia="宋体" w:cs="宋体"/>
                <w:sz w:val="21"/>
                <w:szCs w:val="21"/>
                <w:lang w:eastAsia="zh-CN"/>
              </w:rPr>
              <w:t>科学合理，</w:t>
            </w:r>
            <w:r>
              <w:rPr>
                <w:rFonts w:hint="eastAsia" w:ascii="宋体" w:hAnsi="宋体" w:eastAsia="宋体" w:cs="宋体"/>
                <w:sz w:val="21"/>
                <w:szCs w:val="21"/>
              </w:rPr>
              <w:t>实施计划可行性高，加</w:t>
            </w:r>
            <w:r>
              <w:rPr>
                <w:rFonts w:hint="eastAsia" w:ascii="宋体" w:hAnsi="宋体" w:eastAsia="宋体" w:cs="宋体"/>
                <w:sz w:val="21"/>
                <w:szCs w:val="21"/>
                <w:lang w:val="en-US" w:eastAsia="zh-CN"/>
              </w:rPr>
              <w:t>25</w:t>
            </w:r>
            <w:r>
              <w:rPr>
                <w:rFonts w:hint="eastAsia" w:ascii="宋体" w:hAnsi="宋体" w:eastAsia="宋体" w:cs="宋体"/>
                <w:sz w:val="21"/>
                <w:szCs w:val="21"/>
              </w:rPr>
              <w:t>分；</w:t>
            </w:r>
          </w:p>
          <w:p w14:paraId="09AEFC43">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方案内容</w:t>
            </w:r>
            <w:r>
              <w:rPr>
                <w:rFonts w:hint="eastAsia" w:ascii="宋体" w:hAnsi="宋体" w:eastAsia="宋体" w:cs="宋体"/>
                <w:sz w:val="21"/>
                <w:szCs w:val="21"/>
              </w:rPr>
              <w:t>比较全面，实施计划可行性较高，加</w:t>
            </w:r>
            <w:r>
              <w:rPr>
                <w:rFonts w:hint="eastAsia" w:ascii="宋体" w:hAnsi="宋体" w:eastAsia="宋体" w:cs="宋体"/>
                <w:sz w:val="21"/>
                <w:szCs w:val="21"/>
                <w:lang w:val="en-US" w:eastAsia="zh-CN"/>
              </w:rPr>
              <w:t>15</w:t>
            </w:r>
            <w:r>
              <w:rPr>
                <w:rFonts w:hint="eastAsia" w:ascii="宋体" w:hAnsi="宋体" w:eastAsia="宋体" w:cs="宋体"/>
                <w:sz w:val="21"/>
                <w:szCs w:val="21"/>
              </w:rPr>
              <w:t>分；</w:t>
            </w:r>
          </w:p>
          <w:p w14:paraId="0C3DB3DA">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方案内容</w:t>
            </w:r>
            <w:r>
              <w:rPr>
                <w:rFonts w:hint="eastAsia" w:ascii="宋体" w:hAnsi="宋体" w:eastAsia="宋体" w:cs="宋体"/>
                <w:sz w:val="21"/>
                <w:szCs w:val="21"/>
              </w:rPr>
              <w:t>不够全面，实施计划可行性一般，加</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p w14:paraId="1A32D6D9">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方案内容</w:t>
            </w:r>
            <w:r>
              <w:rPr>
                <w:rFonts w:hint="eastAsia" w:ascii="宋体" w:hAnsi="宋体" w:eastAsia="宋体" w:cs="宋体"/>
                <w:sz w:val="21"/>
                <w:szCs w:val="21"/>
              </w:rPr>
              <w:t>不全面，实施计划可行性低</w:t>
            </w:r>
            <w:r>
              <w:rPr>
                <w:rFonts w:hint="eastAsia" w:ascii="宋体" w:hAnsi="宋体" w:eastAsia="宋体" w:cs="宋体"/>
                <w:sz w:val="21"/>
                <w:szCs w:val="21"/>
                <w:lang w:eastAsia="zh-CN"/>
              </w:rPr>
              <w:t>，</w:t>
            </w:r>
            <w:r>
              <w:rPr>
                <w:rFonts w:hint="eastAsia" w:ascii="宋体" w:hAnsi="宋体" w:eastAsia="宋体" w:cs="宋体"/>
                <w:sz w:val="21"/>
                <w:szCs w:val="21"/>
              </w:rPr>
              <w:t>不加分。</w:t>
            </w:r>
          </w:p>
          <w:p w14:paraId="3660AB7E">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评价为差的需要评委提供书面说明。</w:t>
            </w:r>
          </w:p>
          <w:p w14:paraId="070CA571">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本项最高得100分，未按要求提供或提供不清晰导致评审无法判别的不得分。</w:t>
            </w:r>
          </w:p>
        </w:tc>
      </w:tr>
      <w:tr w14:paraId="3A5527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371ED4C6">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vAlign w:val="top"/>
          </w:tcPr>
          <w:p w14:paraId="36B7EB4C">
            <w:pPr>
              <w:keepNext w:val="0"/>
              <w:keepLines w:val="0"/>
              <w:pageBreakBefore w:val="0"/>
              <w:kinsoku/>
              <w:overflowPunct/>
              <w:topLinePunct w:val="0"/>
              <w:bidi w:val="0"/>
              <w:spacing w:line="36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2835" w:type="dxa"/>
            <w:tcBorders>
              <w:top w:val="single" w:color="000000" w:sz="8" w:space="0"/>
              <w:left w:val="single" w:color="000000" w:sz="8" w:space="0"/>
              <w:bottom w:val="single" w:color="000000" w:sz="8" w:space="0"/>
              <w:right w:val="single" w:color="000000" w:sz="8" w:space="0"/>
            </w:tcBorders>
            <w:vAlign w:val="top"/>
          </w:tcPr>
          <w:p w14:paraId="6758F6D1">
            <w:pPr>
              <w:keepNext w:val="0"/>
              <w:keepLines w:val="0"/>
              <w:pageBreakBefore w:val="0"/>
              <w:kinsoku/>
              <w:overflowPunct/>
              <w:topLinePunct w:val="0"/>
              <w:bidi w:val="0"/>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vAlign w:val="top"/>
          </w:tcPr>
          <w:p w14:paraId="5D85F0FF">
            <w:pPr>
              <w:keepNext w:val="0"/>
              <w:keepLines w:val="0"/>
              <w:pageBreakBefore w:val="0"/>
              <w:kinsoku/>
              <w:overflowPunct/>
              <w:topLinePunct w:val="0"/>
              <w:bidi w:val="0"/>
              <w:spacing w:line="36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w:t>
            </w:r>
          </w:p>
        </w:tc>
        <w:tc>
          <w:tcPr>
            <w:tcW w:w="4763" w:type="dxa"/>
            <w:tcBorders>
              <w:top w:val="single" w:color="000000" w:sz="8" w:space="0"/>
              <w:left w:val="single" w:color="000000" w:sz="8" w:space="0"/>
              <w:bottom w:val="single" w:color="000000" w:sz="8" w:space="0"/>
              <w:right w:val="single" w:color="000000" w:sz="8" w:space="0"/>
            </w:tcBorders>
            <w:vAlign w:val="top"/>
          </w:tcPr>
          <w:p w14:paraId="11C162AB">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（一）评分内容：</w:t>
            </w:r>
          </w:p>
          <w:p w14:paraId="619E9EF0">
            <w:pPr>
              <w:keepNext w:val="0"/>
              <w:keepLines w:val="0"/>
              <w:pageBreakBefore w:val="0"/>
              <w:kinsoku/>
              <w:overflowPunct/>
              <w:topLinePunct w:val="0"/>
              <w:autoSpaceDE w:val="0"/>
              <w:autoSpaceDN w:val="0"/>
              <w:bidi w:val="0"/>
              <w:adjustRightInd w:val="0"/>
              <w:spacing w:line="360" w:lineRule="auto"/>
              <w:textAlignment w:val="auto"/>
              <w:rPr>
                <w:rFonts w:hint="eastAsia" w:ascii="宋体" w:hAnsi="宋体" w:eastAsia="宋体" w:cs="宋体"/>
                <w:sz w:val="21"/>
                <w:szCs w:val="21"/>
              </w:rPr>
            </w:pPr>
            <w:r>
              <w:rPr>
                <w:rFonts w:hint="eastAsia" w:ascii="宋体" w:hAnsi="宋体" w:eastAsia="宋体" w:cs="宋体"/>
                <w:kern w:val="0"/>
                <w:sz w:val="21"/>
                <w:szCs w:val="21"/>
              </w:rPr>
              <w:t>考察投标人提供的项目</w:t>
            </w:r>
            <w:r>
              <w:rPr>
                <w:rFonts w:hint="eastAsia" w:ascii="宋体" w:hAnsi="宋体" w:eastAsia="宋体" w:cs="宋体"/>
                <w:kern w:val="0"/>
                <w:sz w:val="21"/>
                <w:szCs w:val="21"/>
                <w:lang w:eastAsia="zh-CN"/>
              </w:rPr>
              <w:t>实施</w:t>
            </w:r>
            <w:r>
              <w:rPr>
                <w:rFonts w:hint="eastAsia" w:ascii="宋体" w:hAnsi="宋体" w:eastAsia="宋体" w:cs="宋体"/>
                <w:kern w:val="0"/>
                <w:sz w:val="21"/>
                <w:szCs w:val="21"/>
              </w:rPr>
              <w:t>方案，包含以下内容：</w:t>
            </w:r>
          </w:p>
          <w:p w14:paraId="65C73A7D">
            <w:pPr>
              <w:keepNext w:val="0"/>
              <w:keepLines w:val="0"/>
              <w:pageBreakBefore w:val="0"/>
              <w:numPr>
                <w:ilvl w:val="0"/>
                <w:numId w:val="0"/>
              </w:numPr>
              <w:kinsoku/>
              <w:overflowPunct/>
              <w:topLinePunct w:val="0"/>
              <w:autoSpaceDE w:val="0"/>
              <w:autoSpaceDN w:val="0"/>
              <w:bidi w:val="0"/>
              <w:spacing w:line="360" w:lineRule="auto"/>
              <w:textAlignment w:val="auto"/>
              <w:rPr>
                <w:rFonts w:hint="eastAsia" w:ascii="宋体" w:hAnsi="宋体" w:eastAsia="宋体" w:cs="宋体"/>
                <w:b w:val="0"/>
                <w:bCs w:val="0"/>
                <w:spacing w:val="0"/>
                <w:kern w:val="0"/>
                <w:sz w:val="21"/>
                <w:szCs w:val="21"/>
                <w:lang w:val="en-US" w:eastAsia="zh-CN"/>
              </w:rPr>
            </w:pPr>
            <w:r>
              <w:rPr>
                <w:rFonts w:hint="eastAsia" w:ascii="宋体" w:hAnsi="宋体" w:eastAsia="宋体" w:cs="宋体"/>
                <w:b w:val="0"/>
                <w:bCs w:val="0"/>
                <w:spacing w:val="0"/>
                <w:kern w:val="0"/>
                <w:sz w:val="21"/>
                <w:szCs w:val="21"/>
                <w:lang w:val="en-US" w:eastAsia="zh-CN" w:bidi="ar-SA"/>
              </w:rPr>
              <w:t>1、</w:t>
            </w:r>
            <w:r>
              <w:rPr>
                <w:rFonts w:hint="eastAsia" w:ascii="宋体" w:hAnsi="宋体" w:eastAsia="宋体" w:cs="宋体"/>
                <w:b w:val="0"/>
                <w:bCs w:val="0"/>
                <w:spacing w:val="0"/>
                <w:kern w:val="0"/>
                <w:sz w:val="21"/>
                <w:szCs w:val="21"/>
                <w:lang w:val="en-US" w:eastAsia="zh-CN"/>
              </w:rPr>
              <w:t>项目实施时间安排；</w:t>
            </w:r>
          </w:p>
          <w:p w14:paraId="569979CA">
            <w:pPr>
              <w:keepNext w:val="0"/>
              <w:keepLines w:val="0"/>
              <w:pageBreakBefore w:val="0"/>
              <w:numPr>
                <w:ilvl w:val="0"/>
                <w:numId w:val="0"/>
              </w:numPr>
              <w:kinsoku/>
              <w:overflowPunct/>
              <w:topLinePunct w:val="0"/>
              <w:autoSpaceDE w:val="0"/>
              <w:autoSpaceDN w:val="0"/>
              <w:bidi w:val="0"/>
              <w:spacing w:line="360" w:lineRule="auto"/>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bidi="ar-SA"/>
              </w:rPr>
              <w:t>2、</w:t>
            </w:r>
            <w:r>
              <w:rPr>
                <w:rFonts w:hint="eastAsia" w:ascii="宋体" w:hAnsi="宋体" w:eastAsia="宋体" w:cs="宋体"/>
                <w:kern w:val="0"/>
                <w:sz w:val="21"/>
                <w:szCs w:val="21"/>
                <w:lang w:val="en-US" w:eastAsia="zh-CN"/>
              </w:rPr>
              <w:t>项目施工安全安排；</w:t>
            </w:r>
          </w:p>
          <w:p w14:paraId="748CF5A3">
            <w:pPr>
              <w:keepNext w:val="0"/>
              <w:keepLines w:val="0"/>
              <w:pageBreakBefore w:val="0"/>
              <w:numPr>
                <w:ilvl w:val="0"/>
                <w:numId w:val="0"/>
              </w:numPr>
              <w:kinsoku/>
              <w:overflowPunct/>
              <w:topLinePunct w:val="0"/>
              <w:autoSpaceDE w:val="0"/>
              <w:autoSpaceDN w:val="0"/>
              <w:bidi w:val="0"/>
              <w:spacing w:line="360" w:lineRule="auto"/>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bidi="ar-SA"/>
              </w:rPr>
              <w:t>3、</w:t>
            </w:r>
            <w:r>
              <w:rPr>
                <w:rFonts w:hint="eastAsia" w:ascii="宋体" w:hAnsi="宋体" w:eastAsia="宋体" w:cs="宋体"/>
                <w:kern w:val="0"/>
                <w:sz w:val="21"/>
                <w:szCs w:val="21"/>
                <w:lang w:val="en-US" w:eastAsia="zh-CN"/>
              </w:rPr>
              <w:t>项目期间维护安排；</w:t>
            </w:r>
          </w:p>
          <w:p w14:paraId="14A799B3">
            <w:pPr>
              <w:keepNext w:val="0"/>
              <w:keepLines w:val="0"/>
              <w:pageBreakBefore w:val="0"/>
              <w:numPr>
                <w:ilvl w:val="0"/>
                <w:numId w:val="0"/>
              </w:numPr>
              <w:kinsoku/>
              <w:overflowPunct/>
              <w:topLinePunct w:val="0"/>
              <w:autoSpaceDE w:val="0"/>
              <w:autoSpaceDN w:val="0"/>
              <w:bidi w:val="0"/>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4、</w:t>
            </w:r>
            <w:r>
              <w:rPr>
                <w:rFonts w:hint="eastAsia" w:ascii="宋体" w:hAnsi="宋体" w:eastAsia="宋体" w:cs="宋体"/>
                <w:b w:val="0"/>
                <w:bCs w:val="0"/>
                <w:spacing w:val="0"/>
                <w:kern w:val="0"/>
                <w:sz w:val="21"/>
                <w:szCs w:val="21"/>
                <w:lang w:val="en-US" w:eastAsia="zh-CN"/>
              </w:rPr>
              <w:t>项目拍摄宣传安排；</w:t>
            </w:r>
          </w:p>
          <w:p w14:paraId="0809F1D4">
            <w:pPr>
              <w:keepNext w:val="0"/>
              <w:keepLines w:val="0"/>
              <w:pageBreakBefore w:val="0"/>
              <w:numPr>
                <w:ilvl w:val="0"/>
                <w:numId w:val="0"/>
              </w:numPr>
              <w:kinsoku/>
              <w:overflowPunct/>
              <w:topLinePunct w:val="0"/>
              <w:autoSpaceDE w:val="0"/>
              <w:autoSpaceDN w:val="0"/>
              <w:bidi w:val="0"/>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SA"/>
              </w:rPr>
              <w:t>5、</w:t>
            </w:r>
            <w:r>
              <w:rPr>
                <w:rFonts w:hint="eastAsia" w:ascii="宋体" w:hAnsi="宋体" w:eastAsia="宋体" w:cs="宋体"/>
                <w:b w:val="0"/>
                <w:bCs w:val="0"/>
                <w:spacing w:val="0"/>
                <w:kern w:val="0"/>
                <w:sz w:val="21"/>
                <w:szCs w:val="21"/>
                <w:lang w:val="en-US" w:eastAsia="zh-CN"/>
              </w:rPr>
              <w:t>团队分工安排。</w:t>
            </w:r>
          </w:p>
          <w:p w14:paraId="0BFF42FA">
            <w:pPr>
              <w:keepNext w:val="0"/>
              <w:keepLines w:val="0"/>
              <w:pageBreakBefore w:val="0"/>
              <w:kinsoku/>
              <w:overflowPunct/>
              <w:topLinePunct w:val="0"/>
              <w:autoSpaceDE w:val="0"/>
              <w:autoSpaceDN w:val="0"/>
              <w:bidi w:val="0"/>
              <w:adjustRightInd w:val="0"/>
              <w:spacing w:line="360" w:lineRule="auto"/>
              <w:jc w:val="left"/>
              <w:textAlignment w:val="auto"/>
              <w:rPr>
                <w:rFonts w:hint="eastAsia" w:ascii="宋体" w:hAnsi="宋体" w:eastAsia="宋体" w:cs="宋体"/>
                <w:kern w:val="0"/>
                <w:sz w:val="21"/>
                <w:szCs w:val="21"/>
              </w:rPr>
            </w:pPr>
          </w:p>
          <w:p w14:paraId="02B9774C">
            <w:pPr>
              <w:keepNext w:val="0"/>
              <w:keepLines w:val="0"/>
              <w:pageBreakBefore w:val="0"/>
              <w:kinsoku/>
              <w:overflowPunct/>
              <w:topLinePunct w:val="0"/>
              <w:autoSpaceDE w:val="0"/>
              <w:autoSpaceDN w:val="0"/>
              <w:bidi w:val="0"/>
              <w:adjustRightInd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（二）评分标准：</w:t>
            </w:r>
          </w:p>
          <w:p w14:paraId="34506A55">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方案包含以上一项内容得1</w:t>
            </w:r>
            <w:r>
              <w:rPr>
                <w:rFonts w:hint="default" w:ascii="宋体" w:hAnsi="宋体" w:cs="宋体"/>
                <w:sz w:val="21"/>
                <w:szCs w:val="21"/>
                <w:lang w:val="en-US"/>
              </w:rPr>
              <w:t>5</w:t>
            </w:r>
            <w:r>
              <w:rPr>
                <w:rFonts w:hint="eastAsia" w:ascii="宋体" w:hAnsi="宋体" w:eastAsia="宋体" w:cs="宋体"/>
                <w:sz w:val="21"/>
                <w:szCs w:val="21"/>
              </w:rPr>
              <w:t>分</w:t>
            </w:r>
            <w:r>
              <w:rPr>
                <w:rFonts w:hint="eastAsia" w:ascii="宋体" w:hAnsi="宋体" w:eastAsia="宋体" w:cs="宋体"/>
                <w:sz w:val="21"/>
                <w:szCs w:val="21"/>
                <w:lang w:eastAsia="zh-CN"/>
              </w:rPr>
              <w:t>，最高</w:t>
            </w:r>
            <w:r>
              <w:rPr>
                <w:rFonts w:hint="eastAsia" w:ascii="宋体" w:hAnsi="宋体" w:eastAsia="宋体" w:cs="宋体"/>
                <w:sz w:val="21"/>
                <w:szCs w:val="21"/>
                <w:lang w:val="en-US" w:eastAsia="zh-CN"/>
              </w:rPr>
              <w:t>75分</w:t>
            </w:r>
            <w:r>
              <w:rPr>
                <w:rFonts w:hint="eastAsia" w:ascii="宋体" w:hAnsi="宋体" w:eastAsia="宋体" w:cs="宋体"/>
                <w:sz w:val="21"/>
                <w:szCs w:val="21"/>
              </w:rPr>
              <w:t>。在此基础上，根据方案响应情况进一步评审：</w:t>
            </w:r>
          </w:p>
          <w:p w14:paraId="5A6B71BB">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方案内容</w:t>
            </w:r>
            <w:r>
              <w:rPr>
                <w:rFonts w:hint="eastAsia" w:ascii="宋体" w:hAnsi="宋体" w:eastAsia="宋体" w:cs="宋体"/>
                <w:sz w:val="21"/>
                <w:szCs w:val="21"/>
              </w:rPr>
              <w:t>全面、具体，</w:t>
            </w:r>
            <w:r>
              <w:rPr>
                <w:rFonts w:hint="eastAsia" w:ascii="宋体" w:hAnsi="宋体" w:eastAsia="宋体" w:cs="宋体"/>
                <w:sz w:val="21"/>
                <w:szCs w:val="21"/>
                <w:lang w:eastAsia="zh-CN"/>
              </w:rPr>
              <w:t>科学合理，</w:t>
            </w:r>
            <w:r>
              <w:rPr>
                <w:rFonts w:hint="eastAsia" w:ascii="宋体" w:hAnsi="宋体" w:eastAsia="宋体" w:cs="宋体"/>
                <w:sz w:val="21"/>
                <w:szCs w:val="21"/>
              </w:rPr>
              <w:t>实施计划可行性高，加</w:t>
            </w:r>
            <w:r>
              <w:rPr>
                <w:rFonts w:hint="eastAsia" w:ascii="宋体" w:hAnsi="宋体" w:eastAsia="宋体" w:cs="宋体"/>
                <w:sz w:val="21"/>
                <w:szCs w:val="21"/>
                <w:lang w:val="en-US" w:eastAsia="zh-CN"/>
              </w:rPr>
              <w:t>25</w:t>
            </w:r>
            <w:r>
              <w:rPr>
                <w:rFonts w:hint="eastAsia" w:ascii="宋体" w:hAnsi="宋体" w:eastAsia="宋体" w:cs="宋体"/>
                <w:sz w:val="21"/>
                <w:szCs w:val="21"/>
              </w:rPr>
              <w:t>分；</w:t>
            </w:r>
          </w:p>
          <w:p w14:paraId="754E7C5B">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方案内容</w:t>
            </w:r>
            <w:r>
              <w:rPr>
                <w:rFonts w:hint="eastAsia" w:ascii="宋体" w:hAnsi="宋体" w:eastAsia="宋体" w:cs="宋体"/>
                <w:sz w:val="21"/>
                <w:szCs w:val="21"/>
              </w:rPr>
              <w:t>比较全面，实施计划可行性较高，加</w:t>
            </w:r>
            <w:r>
              <w:rPr>
                <w:rFonts w:hint="eastAsia" w:ascii="宋体" w:hAnsi="宋体" w:eastAsia="宋体" w:cs="宋体"/>
                <w:sz w:val="21"/>
                <w:szCs w:val="21"/>
                <w:lang w:val="en-US" w:eastAsia="zh-CN"/>
              </w:rPr>
              <w:t>15</w:t>
            </w:r>
            <w:r>
              <w:rPr>
                <w:rFonts w:hint="eastAsia" w:ascii="宋体" w:hAnsi="宋体" w:eastAsia="宋体" w:cs="宋体"/>
                <w:sz w:val="21"/>
                <w:szCs w:val="21"/>
              </w:rPr>
              <w:t>分；</w:t>
            </w:r>
          </w:p>
          <w:p w14:paraId="05DA0757">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方案内容</w:t>
            </w:r>
            <w:r>
              <w:rPr>
                <w:rFonts w:hint="eastAsia" w:ascii="宋体" w:hAnsi="宋体" w:eastAsia="宋体" w:cs="宋体"/>
                <w:sz w:val="21"/>
                <w:szCs w:val="21"/>
              </w:rPr>
              <w:t>不够全面，实施计划可行性一般，加</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p w14:paraId="60F43E75">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方案内容</w:t>
            </w:r>
            <w:r>
              <w:rPr>
                <w:rFonts w:hint="eastAsia" w:ascii="宋体" w:hAnsi="宋体" w:eastAsia="宋体" w:cs="宋体"/>
                <w:sz w:val="21"/>
                <w:szCs w:val="21"/>
              </w:rPr>
              <w:t>不全面，实施计划可行性低</w:t>
            </w:r>
            <w:r>
              <w:rPr>
                <w:rFonts w:hint="eastAsia" w:ascii="宋体" w:hAnsi="宋体" w:eastAsia="宋体" w:cs="宋体"/>
                <w:sz w:val="21"/>
                <w:szCs w:val="21"/>
                <w:lang w:eastAsia="zh-CN"/>
              </w:rPr>
              <w:t>，</w:t>
            </w:r>
            <w:r>
              <w:rPr>
                <w:rFonts w:hint="eastAsia" w:ascii="宋体" w:hAnsi="宋体" w:eastAsia="宋体" w:cs="宋体"/>
                <w:sz w:val="21"/>
                <w:szCs w:val="21"/>
              </w:rPr>
              <w:t>不加分。</w:t>
            </w:r>
          </w:p>
          <w:p w14:paraId="102D8BE7">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评价为差的需要评委提供书面说明。</w:t>
            </w:r>
          </w:p>
          <w:p w14:paraId="44D5E37D">
            <w:pPr>
              <w:keepNext w:val="0"/>
              <w:keepLines w:val="0"/>
              <w:pageBreakBefore w:val="0"/>
              <w:kinsoku/>
              <w:overflowPunct/>
              <w:topLinePunct w:val="0"/>
              <w:bidi w:val="0"/>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本项最高得100分，未按要求提供或提供不清晰导致评审无法判别的不得分。</w:t>
            </w:r>
          </w:p>
        </w:tc>
      </w:tr>
      <w:tr w14:paraId="469E09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79B78CBB">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vAlign w:val="top"/>
          </w:tcPr>
          <w:p w14:paraId="3DC307F3">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2835" w:type="dxa"/>
            <w:tcBorders>
              <w:top w:val="single" w:color="000000" w:sz="8" w:space="0"/>
              <w:left w:val="single" w:color="000000" w:sz="8" w:space="0"/>
              <w:bottom w:val="single" w:color="000000" w:sz="8" w:space="0"/>
              <w:right w:val="single" w:color="000000" w:sz="8" w:space="0"/>
            </w:tcBorders>
            <w:vAlign w:val="top"/>
          </w:tcPr>
          <w:p w14:paraId="02C47A16">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现场演示</w:t>
            </w:r>
          </w:p>
        </w:tc>
        <w:tc>
          <w:tcPr>
            <w:tcW w:w="681" w:type="dxa"/>
            <w:tcBorders>
              <w:top w:val="single" w:color="000000" w:sz="8" w:space="0"/>
              <w:left w:val="single" w:color="000000" w:sz="8" w:space="0"/>
              <w:bottom w:val="single" w:color="000000" w:sz="8" w:space="0"/>
              <w:right w:val="single" w:color="000000" w:sz="8" w:space="0"/>
            </w:tcBorders>
            <w:vAlign w:val="top"/>
          </w:tcPr>
          <w:p w14:paraId="71F8C04B">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4763" w:type="dxa"/>
            <w:tcBorders>
              <w:top w:val="single" w:color="000000" w:sz="8" w:space="0"/>
              <w:left w:val="single" w:color="000000" w:sz="8" w:space="0"/>
              <w:bottom w:val="single" w:color="000000" w:sz="8" w:space="0"/>
              <w:right w:val="single" w:color="000000" w:sz="8" w:space="0"/>
            </w:tcBorders>
            <w:vAlign w:val="top"/>
          </w:tcPr>
          <w:p w14:paraId="50C70511">
            <w:pPr>
              <w:keepNext w:val="0"/>
              <w:keepLines w:val="0"/>
              <w:pageBreakBefore w:val="0"/>
              <w:widowControl/>
              <w:kinsoku/>
              <w:overflowPunct/>
              <w:topLinePunct w:val="0"/>
              <w:bidi w:val="0"/>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演示时长：</w:t>
            </w:r>
            <w:r>
              <w:rPr>
                <w:rFonts w:hint="eastAsia" w:ascii="宋体" w:hAnsi="宋体" w:cs="宋体"/>
                <w:kern w:val="0"/>
                <w:sz w:val="21"/>
                <w:szCs w:val="21"/>
                <w:lang w:val="en-US" w:eastAsia="zh-CN"/>
              </w:rPr>
              <w:t>≤</w:t>
            </w:r>
            <w:r>
              <w:rPr>
                <w:rFonts w:hint="eastAsia" w:ascii="宋体" w:hAnsi="宋体" w:eastAsia="宋体" w:cs="宋体"/>
                <w:kern w:val="0"/>
                <w:sz w:val="21"/>
                <w:szCs w:val="21"/>
              </w:rPr>
              <w:t>10分钟</w:t>
            </w:r>
            <w:r>
              <w:rPr>
                <w:rFonts w:hint="eastAsia" w:ascii="宋体" w:hAnsi="宋体" w:cs="宋体"/>
                <w:kern w:val="0"/>
                <w:sz w:val="21"/>
                <w:szCs w:val="21"/>
                <w:lang w:eastAsia="zh-CN"/>
              </w:rPr>
              <w:t>。</w:t>
            </w:r>
          </w:p>
          <w:p w14:paraId="079F271C">
            <w:pPr>
              <w:keepNext w:val="0"/>
              <w:keepLines w:val="0"/>
              <w:pageBreakBefore w:val="0"/>
              <w:widowControl/>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kern w:val="0"/>
                <w:sz w:val="21"/>
                <w:szCs w:val="21"/>
              </w:rPr>
              <w:t>演示内容：投标人</w:t>
            </w:r>
            <w:r>
              <w:rPr>
                <w:rFonts w:hint="eastAsia" w:ascii="宋体" w:hAnsi="宋体" w:cs="宋体"/>
                <w:kern w:val="0"/>
                <w:sz w:val="21"/>
                <w:szCs w:val="21"/>
                <w:lang w:val="en-US" w:eastAsia="zh-CN"/>
              </w:rPr>
              <w:t>根据</w:t>
            </w:r>
            <w:r>
              <w:rPr>
                <w:rFonts w:hint="eastAsia" w:ascii="宋体" w:hAnsi="宋体" w:eastAsia="宋体" w:cs="宋体"/>
                <w:kern w:val="0"/>
                <w:sz w:val="21"/>
                <w:szCs w:val="21"/>
              </w:rPr>
              <w:t>项目采购需求，通过ppt</w:t>
            </w:r>
            <w:r>
              <w:rPr>
                <w:rFonts w:hint="default" w:ascii="宋体" w:hAnsi="宋体" w:cs="宋体"/>
                <w:kern w:val="0"/>
                <w:sz w:val="21"/>
                <w:szCs w:val="21"/>
                <w:lang w:val="en-US"/>
              </w:rPr>
              <w:t>等</w:t>
            </w:r>
            <w:r>
              <w:rPr>
                <w:rFonts w:hint="eastAsia" w:ascii="宋体" w:hAnsi="宋体" w:eastAsia="宋体" w:cs="宋体"/>
                <w:kern w:val="0"/>
                <w:sz w:val="21"/>
                <w:szCs w:val="21"/>
              </w:rPr>
              <w:t>形式（内容可以包括效果图及构思等）进行讲解。</w:t>
            </w:r>
          </w:p>
          <w:p w14:paraId="27636BFA">
            <w:pPr>
              <w:keepNext w:val="0"/>
              <w:keepLines w:val="0"/>
              <w:pageBreakBefore w:val="0"/>
              <w:kinsoku/>
              <w:overflowPunct/>
              <w:topLinePunct w:val="0"/>
              <w:bidi w:val="0"/>
              <w:spacing w:line="360" w:lineRule="auto"/>
              <w:jc w:val="left"/>
              <w:textAlignment w:val="auto"/>
              <w:rPr>
                <w:rFonts w:hint="eastAsia" w:ascii="宋体" w:hAnsi="宋体" w:eastAsia="宋体" w:cs="宋体"/>
                <w:b w:val="0"/>
                <w:bCs w:val="0"/>
                <w:sz w:val="21"/>
                <w:szCs w:val="21"/>
              </w:rPr>
            </w:pPr>
            <w:r>
              <w:rPr>
                <w:rFonts w:hint="eastAsia" w:ascii="宋体" w:hAnsi="宋体" w:eastAsia="宋体" w:cs="宋体"/>
                <w:sz w:val="21"/>
                <w:szCs w:val="21"/>
              </w:rPr>
              <w:t>评</w:t>
            </w:r>
            <w:r>
              <w:rPr>
                <w:rFonts w:hint="eastAsia" w:ascii="宋体" w:hAnsi="宋体" w:eastAsia="宋体" w:cs="宋体"/>
                <w:b w:val="0"/>
                <w:bCs w:val="0"/>
                <w:sz w:val="21"/>
                <w:szCs w:val="21"/>
              </w:rPr>
              <w:t>委根据供应商现场</w:t>
            </w:r>
            <w:r>
              <w:rPr>
                <w:rFonts w:hint="eastAsia" w:ascii="宋体" w:hAnsi="宋体" w:cs="宋体"/>
                <w:b w:val="0"/>
                <w:bCs w:val="0"/>
                <w:sz w:val="21"/>
                <w:szCs w:val="21"/>
                <w:lang w:val="en-US" w:eastAsia="zh-CN"/>
              </w:rPr>
              <w:t>演示</w:t>
            </w:r>
            <w:r>
              <w:rPr>
                <w:rFonts w:hint="eastAsia" w:ascii="宋体" w:hAnsi="宋体" w:eastAsia="宋体" w:cs="宋体"/>
                <w:b w:val="0"/>
                <w:bCs w:val="0"/>
                <w:sz w:val="21"/>
                <w:szCs w:val="21"/>
              </w:rPr>
              <w:t>情况进行评审：</w:t>
            </w:r>
          </w:p>
          <w:p w14:paraId="6714512C">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（一）评分内容：</w:t>
            </w:r>
          </w:p>
          <w:p w14:paraId="40F767EA">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包括但不限于以下内容：</w:t>
            </w:r>
          </w:p>
          <w:p w14:paraId="21494986">
            <w:pPr>
              <w:keepNext w:val="0"/>
              <w:keepLines w:val="0"/>
              <w:pageBreakBefore w:val="0"/>
              <w:widowControl/>
              <w:numPr>
                <w:ilvl w:val="0"/>
                <w:numId w:val="0"/>
              </w:numPr>
              <w:kinsoku/>
              <w:wordWrap w:val="0"/>
              <w:overflowPunct/>
              <w:topLinePunct w:val="0"/>
              <w:bidi w:val="0"/>
              <w:spacing w:line="360" w:lineRule="auto"/>
              <w:jc w:val="left"/>
              <w:textAlignment w:val="auto"/>
              <w:rPr>
                <w:rFonts w:hint="eastAsia" w:ascii="宋体" w:hAnsi="宋体" w:eastAsia="宋体" w:cs="宋体"/>
                <w:b w:val="0"/>
                <w:bCs w:val="0"/>
                <w:kern w:val="0"/>
                <w:sz w:val="21"/>
                <w:szCs w:val="21"/>
              </w:rPr>
            </w:pPr>
            <w:r>
              <w:rPr>
                <w:rFonts w:hint="eastAsia" w:ascii="宋体" w:hAnsi="宋体" w:cs="宋体"/>
                <w:b w:val="0"/>
                <w:bCs w:val="0"/>
                <w:kern w:val="0"/>
                <w:sz w:val="21"/>
                <w:szCs w:val="21"/>
                <w:lang w:val="en-US" w:eastAsia="zh-CN"/>
              </w:rPr>
              <w:t>1.</w:t>
            </w:r>
            <w:r>
              <w:rPr>
                <w:rFonts w:hint="eastAsia" w:ascii="宋体" w:hAnsi="宋体" w:eastAsia="宋体" w:cs="宋体"/>
                <w:b w:val="0"/>
                <w:bCs w:val="0"/>
                <w:kern w:val="0"/>
                <w:sz w:val="21"/>
                <w:szCs w:val="21"/>
                <w:lang w:val="en-US" w:eastAsia="zh-CN"/>
              </w:rPr>
              <w:t>项目</w:t>
            </w:r>
            <w:r>
              <w:rPr>
                <w:rFonts w:hint="eastAsia" w:ascii="宋体" w:hAnsi="宋体" w:cs="宋体"/>
                <w:sz w:val="21"/>
                <w:szCs w:val="21"/>
                <w:lang w:eastAsia="zh-CN"/>
              </w:rPr>
              <w:t>服务</w:t>
            </w:r>
            <w:r>
              <w:rPr>
                <w:rFonts w:hint="eastAsia" w:ascii="宋体" w:hAnsi="宋体" w:cs="宋体"/>
                <w:b w:val="0"/>
                <w:bCs w:val="0"/>
                <w:kern w:val="0"/>
                <w:sz w:val="21"/>
                <w:szCs w:val="21"/>
                <w:lang w:val="en-US" w:eastAsia="zh-CN"/>
              </w:rPr>
              <w:t>方案；</w:t>
            </w:r>
          </w:p>
          <w:p w14:paraId="080EA45D">
            <w:pPr>
              <w:keepNext w:val="0"/>
              <w:keepLines w:val="0"/>
              <w:pageBreakBefore w:val="0"/>
              <w:widowControl/>
              <w:numPr>
                <w:ilvl w:val="0"/>
                <w:numId w:val="0"/>
              </w:numPr>
              <w:kinsoku/>
              <w:wordWrap w:val="0"/>
              <w:overflowPunct/>
              <w:topLinePunct w:val="0"/>
              <w:bidi w:val="0"/>
              <w:spacing w:line="360" w:lineRule="auto"/>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2.</w:t>
            </w:r>
            <w:r>
              <w:rPr>
                <w:rFonts w:hint="eastAsia" w:ascii="宋体" w:hAnsi="宋体" w:cs="宋体"/>
                <w:b w:val="0"/>
                <w:bCs w:val="0"/>
                <w:kern w:val="0"/>
                <w:sz w:val="21"/>
                <w:szCs w:val="21"/>
                <w:lang w:eastAsia="zh-CN"/>
              </w:rPr>
              <w:t>宣传配套方案。</w:t>
            </w:r>
          </w:p>
          <w:p w14:paraId="7CFE56E2">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b w:val="0"/>
                <w:bCs w:val="0"/>
                <w:kern w:val="0"/>
                <w:sz w:val="21"/>
                <w:szCs w:val="21"/>
              </w:rPr>
            </w:pPr>
          </w:p>
          <w:p w14:paraId="357622CA">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w:t>
            </w:r>
            <w:r>
              <w:rPr>
                <w:rFonts w:hint="eastAsia" w:ascii="宋体" w:hAnsi="宋体" w:eastAsia="宋体" w:cs="宋体"/>
                <w:b w:val="0"/>
                <w:bCs w:val="0"/>
                <w:kern w:val="0"/>
                <w:sz w:val="21"/>
                <w:szCs w:val="21"/>
                <w:lang w:val="en-US" w:eastAsia="zh-CN"/>
              </w:rPr>
              <w:t>二</w:t>
            </w:r>
            <w:r>
              <w:rPr>
                <w:rFonts w:hint="eastAsia" w:ascii="宋体" w:hAnsi="宋体" w:eastAsia="宋体" w:cs="宋体"/>
                <w:b w:val="0"/>
                <w:bCs w:val="0"/>
                <w:kern w:val="0"/>
                <w:sz w:val="21"/>
                <w:szCs w:val="21"/>
              </w:rPr>
              <w:t>）评</w:t>
            </w:r>
            <w:r>
              <w:rPr>
                <w:rFonts w:hint="eastAsia" w:ascii="宋体" w:hAnsi="宋体" w:eastAsia="宋体" w:cs="宋体"/>
                <w:b w:val="0"/>
                <w:bCs w:val="0"/>
                <w:kern w:val="0"/>
                <w:sz w:val="21"/>
                <w:szCs w:val="21"/>
                <w:lang w:val="en-US" w:eastAsia="zh-CN"/>
              </w:rPr>
              <w:t>分</w:t>
            </w:r>
            <w:r>
              <w:rPr>
                <w:rFonts w:hint="eastAsia" w:ascii="宋体" w:hAnsi="宋体" w:eastAsia="宋体" w:cs="宋体"/>
                <w:b w:val="0"/>
                <w:bCs w:val="0"/>
                <w:kern w:val="0"/>
                <w:sz w:val="21"/>
                <w:szCs w:val="21"/>
              </w:rPr>
              <w:t>标准：</w:t>
            </w:r>
          </w:p>
          <w:p w14:paraId="138313BB">
            <w:pPr>
              <w:keepNext w:val="0"/>
              <w:keepLines w:val="0"/>
              <w:pageBreakBefore w:val="0"/>
              <w:widowControl/>
              <w:kinsoku/>
              <w:wordWrap/>
              <w:overflowPunct/>
              <w:topLinePunct w:val="0"/>
              <w:bidi w:val="0"/>
              <w:spacing w:line="360" w:lineRule="auto"/>
              <w:jc w:val="left"/>
              <w:textAlignment w:val="auto"/>
              <w:rPr>
                <w:rFonts w:hint="eastAsia" w:ascii="宋体" w:hAnsi="宋体" w:eastAsia="宋体" w:cs="宋体"/>
                <w:b w:val="0"/>
                <w:bCs w:val="0"/>
                <w:kern w:val="0"/>
                <w:sz w:val="21"/>
                <w:szCs w:val="21"/>
              </w:rPr>
            </w:pPr>
            <w:r>
              <w:rPr>
                <w:rFonts w:hint="eastAsia" w:ascii="宋体" w:hAnsi="宋体" w:eastAsia="宋体" w:cs="宋体"/>
                <w:b w:val="0"/>
                <w:bCs w:val="0"/>
                <w:sz w:val="21"/>
                <w:szCs w:val="21"/>
              </w:rPr>
              <w:t>方案包含以上一项内容得</w:t>
            </w:r>
            <w:r>
              <w:rPr>
                <w:rFonts w:hint="eastAsia" w:ascii="宋体" w:hAnsi="宋体" w:eastAsia="宋体" w:cs="宋体"/>
                <w:b w:val="0"/>
                <w:bCs w:val="0"/>
                <w:sz w:val="21"/>
                <w:szCs w:val="21"/>
                <w:lang w:val="en-US" w:eastAsia="zh-CN"/>
              </w:rPr>
              <w:t>20</w:t>
            </w:r>
            <w:r>
              <w:rPr>
                <w:rFonts w:hint="eastAsia" w:ascii="宋体" w:hAnsi="宋体" w:eastAsia="宋体" w:cs="宋体"/>
                <w:b w:val="0"/>
                <w:bCs w:val="0"/>
                <w:sz w:val="21"/>
                <w:szCs w:val="21"/>
              </w:rPr>
              <w:t>分</w:t>
            </w:r>
            <w:r>
              <w:rPr>
                <w:rFonts w:hint="eastAsia" w:ascii="宋体" w:hAnsi="宋体" w:eastAsia="宋体" w:cs="宋体"/>
                <w:b w:val="0"/>
                <w:bCs w:val="0"/>
                <w:sz w:val="21"/>
                <w:szCs w:val="21"/>
                <w:lang w:eastAsia="zh-CN"/>
              </w:rPr>
              <w:t>，最高</w:t>
            </w:r>
            <w:r>
              <w:rPr>
                <w:rFonts w:hint="eastAsia" w:ascii="宋体" w:hAnsi="宋体" w:cs="宋体"/>
                <w:b w:val="0"/>
                <w:bCs w:val="0"/>
                <w:sz w:val="21"/>
                <w:szCs w:val="21"/>
                <w:lang w:val="en-US" w:eastAsia="zh-CN"/>
              </w:rPr>
              <w:t>4</w:t>
            </w:r>
            <w:r>
              <w:rPr>
                <w:rFonts w:hint="eastAsia" w:ascii="宋体" w:hAnsi="宋体" w:eastAsia="宋体" w:cs="宋体"/>
                <w:b w:val="0"/>
                <w:bCs w:val="0"/>
                <w:sz w:val="21"/>
                <w:szCs w:val="21"/>
                <w:lang w:val="en-US" w:eastAsia="zh-CN"/>
              </w:rPr>
              <w:t>0分</w:t>
            </w:r>
            <w:r>
              <w:rPr>
                <w:rFonts w:hint="eastAsia" w:ascii="宋体" w:hAnsi="宋体" w:eastAsia="宋体" w:cs="宋体"/>
                <w:b w:val="0"/>
                <w:bCs w:val="0"/>
                <w:sz w:val="21"/>
                <w:szCs w:val="21"/>
              </w:rPr>
              <w:t>。</w:t>
            </w:r>
            <w:r>
              <w:rPr>
                <w:rFonts w:hint="eastAsia" w:ascii="宋体" w:hAnsi="宋体" w:eastAsia="宋体" w:cs="宋体"/>
                <w:b w:val="0"/>
                <w:bCs w:val="0"/>
                <w:kern w:val="0"/>
                <w:sz w:val="21"/>
                <w:szCs w:val="21"/>
              </w:rPr>
              <w:t>在此基础上，专家根据各供应商的具体响应内容进一步评审：</w:t>
            </w:r>
          </w:p>
          <w:p w14:paraId="521CBC00">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b w:val="0"/>
                <w:bCs w:val="0"/>
                <w:kern w:val="0"/>
                <w:sz w:val="21"/>
                <w:szCs w:val="21"/>
                <w:lang w:val="en-US" w:eastAsia="zh-CN"/>
              </w:rPr>
              <w:t>1.</w:t>
            </w:r>
            <w:r>
              <w:rPr>
                <w:rFonts w:hint="eastAsia" w:ascii="宋体" w:hAnsi="宋体" w:eastAsia="宋体" w:cs="宋体"/>
                <w:b w:val="0"/>
                <w:bCs w:val="0"/>
                <w:kern w:val="0"/>
                <w:sz w:val="21"/>
                <w:szCs w:val="21"/>
              </w:rPr>
              <w:t>演示内容全面、具体，紧扣主题，创意新颖，针对性和可操作性强</w:t>
            </w:r>
            <w:r>
              <w:rPr>
                <w:rFonts w:hint="eastAsia" w:ascii="宋体" w:hAnsi="宋体" w:eastAsia="宋体" w:cs="宋体"/>
                <w:kern w:val="0"/>
                <w:sz w:val="21"/>
                <w:szCs w:val="21"/>
              </w:rPr>
              <w:t>的，加</w:t>
            </w:r>
            <w:r>
              <w:rPr>
                <w:rFonts w:hint="eastAsia" w:ascii="宋体" w:hAnsi="宋体" w:cs="宋体"/>
                <w:kern w:val="0"/>
                <w:sz w:val="21"/>
                <w:szCs w:val="21"/>
                <w:lang w:val="en-US" w:eastAsia="zh-CN"/>
              </w:rPr>
              <w:t>6</w:t>
            </w:r>
            <w:r>
              <w:rPr>
                <w:rFonts w:hint="eastAsia" w:ascii="宋体" w:hAnsi="宋体" w:eastAsia="宋体" w:cs="宋体"/>
                <w:kern w:val="0"/>
                <w:sz w:val="21"/>
                <w:szCs w:val="21"/>
              </w:rPr>
              <w:t>0分；</w:t>
            </w:r>
          </w:p>
          <w:p w14:paraId="7F72D18C">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演示内容较全面、具体，较扣主题，较新颖，针对性和可操作性较强的，加</w:t>
            </w:r>
            <w:r>
              <w:rPr>
                <w:rFonts w:hint="eastAsia" w:ascii="宋体" w:hAnsi="宋体" w:cs="宋体"/>
                <w:kern w:val="0"/>
                <w:sz w:val="21"/>
                <w:szCs w:val="21"/>
                <w:lang w:val="en-US" w:eastAsia="zh-CN"/>
              </w:rPr>
              <w:t>4</w:t>
            </w:r>
            <w:r>
              <w:rPr>
                <w:rFonts w:hint="eastAsia" w:ascii="宋体" w:hAnsi="宋体" w:eastAsia="宋体" w:cs="宋体"/>
                <w:kern w:val="0"/>
                <w:sz w:val="21"/>
                <w:szCs w:val="21"/>
              </w:rPr>
              <w:t>0分；</w:t>
            </w:r>
          </w:p>
          <w:p w14:paraId="3638ADF8">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r>
              <w:rPr>
                <w:rFonts w:hint="eastAsia" w:ascii="宋体" w:hAnsi="宋体" w:eastAsia="宋体" w:cs="宋体"/>
                <w:b w:val="0"/>
                <w:bCs w:val="0"/>
                <w:kern w:val="0"/>
                <w:sz w:val="21"/>
                <w:szCs w:val="21"/>
              </w:rPr>
              <w:t>演示</w:t>
            </w:r>
            <w:r>
              <w:rPr>
                <w:rFonts w:hint="eastAsia" w:ascii="宋体" w:hAnsi="宋体" w:eastAsia="宋体" w:cs="宋体"/>
                <w:kern w:val="0"/>
                <w:sz w:val="21"/>
                <w:szCs w:val="21"/>
              </w:rPr>
              <w:t>内容一般，扣主题一般，新颖度一般，针对性和可操作性一般的，加</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0分；</w:t>
            </w:r>
          </w:p>
          <w:p w14:paraId="043E52EA">
            <w:pPr>
              <w:keepNext w:val="0"/>
              <w:keepLines w:val="0"/>
              <w:pageBreakBefore w:val="0"/>
              <w:widowControl/>
              <w:kinsoku/>
              <w:wordWrap w:val="0"/>
              <w:overflowPunct/>
              <w:topLinePunct w:val="0"/>
              <w:bidi w:val="0"/>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rPr>
              <w:t>4.</w:t>
            </w:r>
            <w:r>
              <w:rPr>
                <w:rFonts w:hint="eastAsia" w:ascii="宋体" w:hAnsi="宋体" w:eastAsia="宋体" w:cs="宋体"/>
                <w:b w:val="0"/>
                <w:bCs w:val="0"/>
                <w:kern w:val="0"/>
                <w:sz w:val="21"/>
                <w:szCs w:val="21"/>
              </w:rPr>
              <w:t>演示</w:t>
            </w:r>
            <w:r>
              <w:rPr>
                <w:rFonts w:hint="eastAsia" w:ascii="宋体" w:hAnsi="宋体" w:eastAsia="宋体" w:cs="宋体"/>
                <w:kern w:val="0"/>
                <w:sz w:val="21"/>
                <w:szCs w:val="21"/>
              </w:rPr>
              <w:t>内容差，偏离主题，针对性和可操作性差，不加分。</w:t>
            </w:r>
          </w:p>
          <w:p w14:paraId="008648C7">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kern w:val="0"/>
                <w:sz w:val="21"/>
                <w:szCs w:val="21"/>
              </w:rPr>
              <w:t>备注：不参与演示不得分。</w:t>
            </w:r>
          </w:p>
        </w:tc>
      </w:tr>
      <w:tr w14:paraId="2EE7EE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45FBFAF9">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vAlign w:val="top"/>
          </w:tcPr>
          <w:p w14:paraId="60C3AF48">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2835" w:type="dxa"/>
            <w:tcBorders>
              <w:top w:val="single" w:color="000000" w:sz="8" w:space="0"/>
              <w:left w:val="single" w:color="000000" w:sz="8" w:space="0"/>
              <w:bottom w:val="single" w:color="000000" w:sz="8" w:space="0"/>
              <w:right w:val="single" w:color="000000" w:sz="8" w:space="0"/>
            </w:tcBorders>
            <w:vAlign w:val="top"/>
          </w:tcPr>
          <w:p w14:paraId="29F0B34F">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项目重点难点分析、应对措施及相关的合理化建议</w:t>
            </w:r>
          </w:p>
        </w:tc>
        <w:tc>
          <w:tcPr>
            <w:tcW w:w="681" w:type="dxa"/>
            <w:tcBorders>
              <w:top w:val="single" w:color="000000" w:sz="8" w:space="0"/>
              <w:left w:val="single" w:color="000000" w:sz="8" w:space="0"/>
              <w:bottom w:val="single" w:color="000000" w:sz="8" w:space="0"/>
              <w:right w:val="single" w:color="000000" w:sz="8" w:space="0"/>
            </w:tcBorders>
            <w:vAlign w:val="top"/>
          </w:tcPr>
          <w:p w14:paraId="2C90FBDF">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4763" w:type="dxa"/>
            <w:tcBorders>
              <w:top w:val="single" w:color="000000" w:sz="8" w:space="0"/>
              <w:left w:val="single" w:color="000000" w:sz="8" w:space="0"/>
              <w:bottom w:val="single" w:color="000000" w:sz="8" w:space="0"/>
              <w:right w:val="single" w:color="000000" w:sz="8" w:space="0"/>
            </w:tcBorders>
            <w:vAlign w:val="top"/>
          </w:tcPr>
          <w:p w14:paraId="471B8908">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（一）评分内容：</w:t>
            </w:r>
          </w:p>
          <w:p w14:paraId="6190164B">
            <w:pPr>
              <w:keepNext w:val="0"/>
              <w:keepLines w:val="0"/>
              <w:pageBreakBefore w:val="0"/>
              <w:kinsoku/>
              <w:overflowPunct/>
              <w:topLinePunct w:val="0"/>
              <w:autoSpaceDE w:val="0"/>
              <w:autoSpaceDN w:val="0"/>
              <w:bidi w:val="0"/>
              <w:adjustRightInd w:val="0"/>
              <w:spacing w:line="360" w:lineRule="auto"/>
              <w:textAlignment w:val="auto"/>
              <w:rPr>
                <w:rFonts w:hint="eastAsia" w:ascii="宋体" w:hAnsi="宋体" w:eastAsia="宋体" w:cs="宋体"/>
                <w:kern w:val="0"/>
                <w:sz w:val="21"/>
                <w:szCs w:val="21"/>
              </w:rPr>
            </w:pPr>
            <w:r>
              <w:rPr>
                <w:rFonts w:hint="eastAsia" w:ascii="宋体" w:hAnsi="宋体" w:eastAsia="宋体" w:cs="宋体"/>
                <w:kern w:val="0"/>
                <w:sz w:val="21"/>
                <w:szCs w:val="21"/>
              </w:rPr>
              <w:t>考察投标人提供的</w:t>
            </w:r>
            <w:r>
              <w:rPr>
                <w:rFonts w:hint="eastAsia" w:ascii="宋体" w:hAnsi="宋体" w:eastAsia="宋体" w:cs="宋体"/>
                <w:sz w:val="21"/>
                <w:szCs w:val="21"/>
              </w:rPr>
              <w:t>项目重点难点分析、应对措施及相关的合理化建议</w:t>
            </w:r>
            <w:r>
              <w:rPr>
                <w:rFonts w:hint="eastAsia" w:ascii="宋体" w:hAnsi="宋体" w:eastAsia="宋体" w:cs="宋体"/>
                <w:kern w:val="0"/>
                <w:sz w:val="21"/>
                <w:szCs w:val="21"/>
              </w:rPr>
              <w:t>，包含以下内容：</w:t>
            </w:r>
          </w:p>
          <w:p w14:paraId="263BF2DB">
            <w:pPr>
              <w:keepNext w:val="0"/>
              <w:keepLines w:val="0"/>
              <w:pageBreakBefore w:val="0"/>
              <w:kinsoku/>
              <w:overflowPunct/>
              <w:topLinePunct w:val="0"/>
              <w:bidi w:val="0"/>
              <w:spacing w:line="36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详细分析本项目存在的重难点问题；</w:t>
            </w:r>
          </w:p>
          <w:p w14:paraId="6D9D1526">
            <w:pPr>
              <w:keepNext w:val="0"/>
              <w:keepLines w:val="0"/>
              <w:pageBreakBefore w:val="0"/>
              <w:kinsoku/>
              <w:overflowPunct/>
              <w:topLinePunct w:val="0"/>
              <w:bidi w:val="0"/>
              <w:spacing w:line="36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根据项目重难点，详细阐述对应的应对措施和解决方案；</w:t>
            </w:r>
          </w:p>
          <w:p w14:paraId="065D8DE2">
            <w:pPr>
              <w:keepNext w:val="0"/>
              <w:keepLines w:val="0"/>
              <w:pageBreakBefore w:val="0"/>
              <w:kinsoku/>
              <w:overflowPunct/>
              <w:topLinePunct w:val="0"/>
              <w:bidi w:val="0"/>
              <w:spacing w:line="360" w:lineRule="auto"/>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针对项目现状，详细阐述对项目的合理化建议。</w:t>
            </w:r>
          </w:p>
          <w:p w14:paraId="7DAF24A5">
            <w:pPr>
              <w:keepNext w:val="0"/>
              <w:keepLines w:val="0"/>
              <w:pageBreakBefore w:val="0"/>
              <w:widowControl/>
              <w:kinsoku/>
              <w:overflowPunct/>
              <w:topLinePunct w:val="0"/>
              <w:bidi w:val="0"/>
              <w:snapToGrid/>
              <w:spacing w:line="360" w:lineRule="auto"/>
              <w:jc w:val="left"/>
              <w:textAlignment w:val="auto"/>
              <w:rPr>
                <w:rFonts w:hint="eastAsia" w:ascii="宋体" w:hAnsi="宋体" w:eastAsia="宋体" w:cs="宋体"/>
                <w:color w:val="000000" w:themeColor="text1"/>
                <w:kern w:val="2"/>
                <w:sz w:val="21"/>
                <w:szCs w:val="21"/>
                <w14:textFill>
                  <w14:solidFill>
                    <w14:schemeClr w14:val="tx1"/>
                  </w14:solidFill>
                </w14:textFill>
              </w:rPr>
            </w:pPr>
          </w:p>
          <w:p w14:paraId="2FA36937">
            <w:pPr>
              <w:keepNext w:val="0"/>
              <w:keepLines w:val="0"/>
              <w:pageBreakBefore w:val="0"/>
              <w:widowControl/>
              <w:kinsoku/>
              <w:overflowPunct/>
              <w:topLinePunct w:val="0"/>
              <w:bidi w:val="0"/>
              <w:snapToGrid/>
              <w:spacing w:line="360" w:lineRule="auto"/>
              <w:jc w:val="left"/>
              <w:textAlignment w:val="auto"/>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（二）评分标准：</w:t>
            </w:r>
          </w:p>
          <w:p w14:paraId="251EFE69">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b w:val="0"/>
                <w:bCs w:val="0"/>
                <w:color w:val="000000" w:themeColor="text1"/>
                <w:sz w:val="21"/>
                <w:szCs w:val="21"/>
                <w14:textFill>
                  <w14:solidFill>
                    <w14:schemeClr w14:val="tx1"/>
                  </w14:solidFill>
                </w14:textFill>
              </w:rPr>
              <w:t>方案包含以上一项</w:t>
            </w:r>
            <w:r>
              <w:rPr>
                <w:rFonts w:hint="eastAsia" w:ascii="宋体" w:hAnsi="宋体" w:eastAsia="宋体" w:cs="宋体"/>
                <w:b w:val="0"/>
                <w:bCs w:val="0"/>
                <w:sz w:val="21"/>
                <w:szCs w:val="21"/>
              </w:rPr>
              <w:t>内容得</w:t>
            </w:r>
            <w:r>
              <w:rPr>
                <w:rFonts w:hint="eastAsia" w:ascii="宋体" w:hAnsi="宋体" w:eastAsia="宋体" w:cs="宋体"/>
                <w:b w:val="0"/>
                <w:bCs w:val="0"/>
                <w:sz w:val="21"/>
                <w:szCs w:val="21"/>
                <w:lang w:val="en-US" w:eastAsia="zh-CN"/>
              </w:rPr>
              <w:t>20</w:t>
            </w:r>
            <w:r>
              <w:rPr>
                <w:rFonts w:hint="eastAsia" w:ascii="宋体" w:hAnsi="宋体" w:eastAsia="宋体" w:cs="宋体"/>
                <w:b w:val="0"/>
                <w:bCs w:val="0"/>
                <w:sz w:val="21"/>
                <w:szCs w:val="21"/>
              </w:rPr>
              <w:t>分</w:t>
            </w:r>
            <w:r>
              <w:rPr>
                <w:rFonts w:hint="eastAsia" w:ascii="宋体" w:hAnsi="宋体" w:eastAsia="宋体" w:cs="宋体"/>
                <w:b w:val="0"/>
                <w:bCs w:val="0"/>
                <w:sz w:val="21"/>
                <w:szCs w:val="21"/>
                <w:lang w:eastAsia="zh-CN"/>
              </w:rPr>
              <w:t>，最高</w:t>
            </w:r>
            <w:r>
              <w:rPr>
                <w:rFonts w:hint="eastAsia" w:ascii="宋体" w:hAnsi="宋体" w:eastAsia="宋体" w:cs="宋体"/>
                <w:b w:val="0"/>
                <w:bCs w:val="0"/>
                <w:sz w:val="21"/>
                <w:szCs w:val="21"/>
                <w:lang w:val="en-US" w:eastAsia="zh-CN"/>
              </w:rPr>
              <w:t>60分</w:t>
            </w:r>
            <w:r>
              <w:rPr>
                <w:rFonts w:hint="eastAsia" w:ascii="宋体" w:hAnsi="宋体" w:eastAsia="宋体" w:cs="宋体"/>
                <w:b w:val="0"/>
                <w:bCs w:val="0"/>
                <w:sz w:val="21"/>
                <w:szCs w:val="21"/>
              </w:rPr>
              <w:t>。</w:t>
            </w:r>
            <w:r>
              <w:rPr>
                <w:rFonts w:hint="eastAsia" w:ascii="宋体" w:hAnsi="宋体" w:eastAsia="宋体" w:cs="宋体"/>
                <w:b w:val="0"/>
                <w:bCs w:val="0"/>
                <w:kern w:val="0"/>
                <w:sz w:val="21"/>
                <w:szCs w:val="21"/>
              </w:rPr>
              <w:t>在此基础上，专家根据各供应商的具体响应内容进一步评审：</w:t>
            </w:r>
          </w:p>
          <w:p w14:paraId="25050906">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在此基础上，根据方案响应情况进一步评审：</w:t>
            </w:r>
          </w:p>
          <w:p w14:paraId="417BAF8C">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kern w:val="0"/>
                <w:sz w:val="21"/>
                <w:szCs w:val="21"/>
              </w:rPr>
              <w:t>重点难点分析全面，应对措施可行性高，相关建议科学合理的</w:t>
            </w:r>
            <w:r>
              <w:rPr>
                <w:rFonts w:hint="eastAsia" w:ascii="宋体" w:hAnsi="宋体" w:eastAsia="宋体" w:cs="宋体"/>
                <w:sz w:val="21"/>
                <w:szCs w:val="21"/>
              </w:rPr>
              <w:t>，加</w:t>
            </w:r>
            <w:r>
              <w:rPr>
                <w:rFonts w:hint="eastAsia" w:ascii="宋体" w:hAnsi="宋体" w:eastAsia="宋体" w:cs="宋体"/>
                <w:sz w:val="21"/>
                <w:szCs w:val="21"/>
                <w:lang w:val="en-US" w:eastAsia="zh-CN"/>
              </w:rPr>
              <w:t>4</w:t>
            </w:r>
            <w:r>
              <w:rPr>
                <w:rFonts w:hint="eastAsia" w:ascii="宋体" w:hAnsi="宋体" w:eastAsia="宋体" w:cs="宋体"/>
                <w:sz w:val="21"/>
                <w:szCs w:val="21"/>
              </w:rPr>
              <w:t>0分；</w:t>
            </w:r>
          </w:p>
          <w:p w14:paraId="452B67A7">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kern w:val="0"/>
                <w:sz w:val="21"/>
                <w:szCs w:val="21"/>
              </w:rPr>
              <w:t>重点难点分析比较全面，应对措施可行性较高，相关建议比较合理的</w:t>
            </w:r>
            <w:r>
              <w:rPr>
                <w:rFonts w:hint="eastAsia" w:ascii="宋体" w:hAnsi="宋体" w:eastAsia="宋体" w:cs="宋体"/>
                <w:sz w:val="21"/>
                <w:szCs w:val="21"/>
              </w:rPr>
              <w:t>，加</w:t>
            </w:r>
            <w:r>
              <w:rPr>
                <w:rFonts w:hint="eastAsia" w:ascii="宋体" w:hAnsi="宋体" w:cs="宋体"/>
                <w:sz w:val="21"/>
                <w:szCs w:val="21"/>
                <w:lang w:val="en-US" w:eastAsia="zh-CN"/>
              </w:rPr>
              <w:t>2</w:t>
            </w:r>
            <w:r>
              <w:rPr>
                <w:rFonts w:hint="eastAsia" w:ascii="宋体" w:hAnsi="宋体" w:eastAsia="宋体" w:cs="宋体"/>
                <w:sz w:val="21"/>
                <w:szCs w:val="21"/>
              </w:rPr>
              <w:t>0分；</w:t>
            </w:r>
          </w:p>
          <w:p w14:paraId="44A53A9F">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kern w:val="0"/>
                <w:sz w:val="21"/>
                <w:szCs w:val="21"/>
              </w:rPr>
              <w:t>重点难点分析不够全面，应对措施可行性一般，相关建议不够合理的</w:t>
            </w:r>
            <w:r>
              <w:rPr>
                <w:rFonts w:hint="eastAsia" w:ascii="宋体" w:hAnsi="宋体" w:eastAsia="宋体" w:cs="宋体"/>
                <w:sz w:val="21"/>
                <w:szCs w:val="21"/>
              </w:rPr>
              <w:t>，加</w:t>
            </w:r>
            <w:r>
              <w:rPr>
                <w:rFonts w:hint="eastAsia" w:ascii="宋体" w:hAnsi="宋体" w:cs="宋体"/>
                <w:sz w:val="21"/>
                <w:szCs w:val="21"/>
                <w:lang w:val="en-US" w:eastAsia="zh-CN"/>
              </w:rPr>
              <w:t>1</w:t>
            </w:r>
            <w:r>
              <w:rPr>
                <w:rFonts w:hint="eastAsia" w:ascii="宋体" w:hAnsi="宋体" w:eastAsia="宋体" w:cs="宋体"/>
                <w:sz w:val="21"/>
                <w:szCs w:val="21"/>
              </w:rPr>
              <w:t>0分；</w:t>
            </w:r>
          </w:p>
          <w:p w14:paraId="55671FC3">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kern w:val="0"/>
                <w:sz w:val="21"/>
                <w:szCs w:val="21"/>
              </w:rPr>
              <w:t>重点难点分析不全面，应对措施可行性低，相关建议不合理的</w:t>
            </w:r>
            <w:r>
              <w:rPr>
                <w:rFonts w:hint="eastAsia" w:ascii="宋体" w:hAnsi="宋体" w:eastAsia="宋体" w:cs="宋体"/>
                <w:sz w:val="21"/>
                <w:szCs w:val="21"/>
              </w:rPr>
              <w:t>，不加分。</w:t>
            </w:r>
          </w:p>
        </w:tc>
      </w:tr>
      <w:tr w14:paraId="3DFBFE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bottom w:val="single" w:color="000000" w:sz="8" w:space="0"/>
              <w:right w:val="single" w:color="000000" w:sz="8" w:space="0"/>
            </w:tcBorders>
            <w:vAlign w:val="center"/>
          </w:tcPr>
          <w:p w14:paraId="0607A55E">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tcPr>
          <w:p w14:paraId="6CA68910">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2835" w:type="dxa"/>
            <w:tcBorders>
              <w:top w:val="single" w:color="000000" w:sz="8" w:space="0"/>
              <w:left w:val="single" w:color="000000" w:sz="8" w:space="0"/>
              <w:bottom w:val="single" w:color="000000" w:sz="8" w:space="0"/>
              <w:right w:val="single" w:color="000000" w:sz="8" w:space="0"/>
            </w:tcBorders>
          </w:tcPr>
          <w:p w14:paraId="5BBA4D7F">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违约承诺</w:t>
            </w:r>
          </w:p>
        </w:tc>
        <w:tc>
          <w:tcPr>
            <w:tcW w:w="681" w:type="dxa"/>
            <w:tcBorders>
              <w:top w:val="single" w:color="000000" w:sz="8" w:space="0"/>
              <w:left w:val="single" w:color="000000" w:sz="8" w:space="0"/>
              <w:bottom w:val="single" w:color="000000" w:sz="8" w:space="0"/>
              <w:right w:val="single" w:color="000000" w:sz="8" w:space="0"/>
            </w:tcBorders>
          </w:tcPr>
          <w:p w14:paraId="5A043043">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4763" w:type="dxa"/>
            <w:tcBorders>
              <w:top w:val="single" w:color="000000" w:sz="8" w:space="0"/>
              <w:left w:val="single" w:color="000000" w:sz="8" w:space="0"/>
              <w:bottom w:val="single" w:color="000000" w:sz="8" w:space="0"/>
              <w:right w:val="single" w:color="000000" w:sz="8" w:space="0"/>
            </w:tcBorders>
          </w:tcPr>
          <w:p w14:paraId="02D01B8C">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（一）评分内容：</w:t>
            </w:r>
          </w:p>
          <w:p w14:paraId="515C8B83">
            <w:pPr>
              <w:keepNext w:val="0"/>
              <w:keepLines w:val="0"/>
              <w:pageBreakBefore w:val="0"/>
              <w:kinsoku/>
              <w:overflowPunct/>
              <w:topLinePunct w:val="0"/>
              <w:autoSpaceDE w:val="0"/>
              <w:autoSpaceDN w:val="0"/>
              <w:bidi w:val="0"/>
              <w:adjustRightIn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投标人提供项目违约承诺，满足以下全部要求的得100分，否则不得分。</w:t>
            </w:r>
          </w:p>
          <w:p w14:paraId="492D2A76">
            <w:pPr>
              <w:keepNext w:val="0"/>
              <w:keepLines w:val="0"/>
              <w:pageBreakBefore w:val="0"/>
              <w:kinsoku/>
              <w:wordWrap/>
              <w:overflowPunct/>
              <w:topLinePunct w:val="0"/>
              <w:autoSpaceDE w:val="0"/>
              <w:autoSpaceDN w:val="0"/>
              <w:bidi w:val="0"/>
              <w:adjustRightIn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（1）全面响应项目招标文件要求</w:t>
            </w:r>
            <w:r>
              <w:rPr>
                <w:rFonts w:hint="eastAsia" w:ascii="宋体" w:hAnsi="宋体" w:cs="宋体"/>
                <w:sz w:val="21"/>
                <w:szCs w:val="21"/>
                <w:lang w:eastAsia="zh-CN"/>
              </w:rPr>
              <w:t>，并同意签订安全生产承诺书</w:t>
            </w:r>
            <w:r>
              <w:rPr>
                <w:rFonts w:hint="eastAsia" w:ascii="宋体" w:hAnsi="宋体" w:eastAsia="宋体" w:cs="宋体"/>
                <w:sz w:val="21"/>
                <w:szCs w:val="21"/>
              </w:rPr>
              <w:t>；</w:t>
            </w:r>
          </w:p>
          <w:p w14:paraId="66A760FE">
            <w:pPr>
              <w:keepNext w:val="0"/>
              <w:keepLines w:val="0"/>
              <w:pageBreakBefore w:val="0"/>
              <w:kinsoku/>
              <w:wordWrap/>
              <w:overflowPunct/>
              <w:topLinePunct w:val="0"/>
              <w:autoSpaceDE w:val="0"/>
              <w:autoSpaceDN w:val="0"/>
              <w:bidi w:val="0"/>
              <w:adjustRightIn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（2）投标文件所列全部内容真实，不存在虚假情况；</w:t>
            </w:r>
          </w:p>
          <w:p w14:paraId="33A18EDD">
            <w:pPr>
              <w:keepNext w:val="0"/>
              <w:keepLines w:val="0"/>
              <w:pageBreakBefore w:val="0"/>
              <w:kinsoku/>
              <w:wordWrap/>
              <w:overflowPunct/>
              <w:topLinePunct w:val="0"/>
              <w:autoSpaceDE w:val="0"/>
              <w:autoSpaceDN w:val="0"/>
              <w:bidi w:val="0"/>
              <w:adjustRightIn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）全面配合采购人，保质保量完成本服务项目；</w:t>
            </w:r>
          </w:p>
          <w:p w14:paraId="450A21E9">
            <w:pPr>
              <w:keepNext w:val="0"/>
              <w:keepLines w:val="0"/>
              <w:pageBreakBefore w:val="0"/>
              <w:widowControl/>
              <w:kinsoku/>
              <w:overflowPunct/>
              <w:topLinePunct w:val="0"/>
              <w:autoSpaceDE w:val="0"/>
              <w:autoSpaceDN w:val="0"/>
              <w:bidi w:val="0"/>
              <w:adjustRightInd w:val="0"/>
              <w:snapToGrid/>
              <w:spacing w:line="360" w:lineRule="auto"/>
              <w:jc w:val="left"/>
              <w:textAlignment w:val="auto"/>
              <w:rPr>
                <w:rFonts w:hint="eastAsia" w:ascii="宋体" w:hAnsi="宋体" w:eastAsia="宋体" w:cs="宋体"/>
                <w:kern w:val="2"/>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）若违反任何上述承诺，同意全面接受采购人做出的相应违约处理。</w:t>
            </w:r>
          </w:p>
          <w:p w14:paraId="30AAB5CA">
            <w:pPr>
              <w:keepNext w:val="0"/>
              <w:keepLines w:val="0"/>
              <w:pageBreakBefore w:val="0"/>
              <w:widowControl/>
              <w:kinsoku/>
              <w:overflowPunct/>
              <w:topLinePunct w:val="0"/>
              <w:autoSpaceDE w:val="0"/>
              <w:autoSpaceDN w:val="0"/>
              <w:bidi w:val="0"/>
              <w:adjustRightInd w:val="0"/>
              <w:snapToGrid/>
              <w:spacing w:line="360" w:lineRule="auto"/>
              <w:jc w:val="left"/>
              <w:textAlignment w:val="auto"/>
              <w:rPr>
                <w:rFonts w:hint="eastAsia" w:ascii="宋体" w:hAnsi="宋体" w:eastAsia="宋体" w:cs="宋体"/>
                <w:kern w:val="2"/>
                <w:sz w:val="21"/>
                <w:szCs w:val="21"/>
              </w:rPr>
            </w:pPr>
          </w:p>
          <w:p w14:paraId="7EA56ED3">
            <w:pPr>
              <w:keepNext w:val="0"/>
              <w:keepLines w:val="0"/>
              <w:pageBreakBefore w:val="0"/>
              <w:widowControl/>
              <w:kinsoku/>
              <w:overflowPunct/>
              <w:topLinePunct w:val="0"/>
              <w:autoSpaceDE w:val="0"/>
              <w:autoSpaceDN w:val="0"/>
              <w:bidi w:val="0"/>
              <w:adjustRightInd w:val="0"/>
              <w:snapToGrid/>
              <w:spacing w:line="360" w:lineRule="auto"/>
              <w:jc w:val="left"/>
              <w:textAlignment w:val="auto"/>
              <w:rPr>
                <w:rFonts w:hint="eastAsia" w:ascii="宋体" w:hAnsi="宋体" w:eastAsia="宋体" w:cs="宋体"/>
                <w:kern w:val="2"/>
                <w:sz w:val="21"/>
                <w:szCs w:val="21"/>
              </w:rPr>
            </w:pPr>
            <w:r>
              <w:rPr>
                <w:rFonts w:hint="eastAsia" w:ascii="宋体" w:hAnsi="宋体" w:eastAsia="宋体" w:cs="宋体"/>
                <w:kern w:val="2"/>
                <w:sz w:val="21"/>
                <w:szCs w:val="21"/>
              </w:rPr>
              <w:t>（二）评分依据：</w:t>
            </w:r>
          </w:p>
          <w:p w14:paraId="02FB5FC2">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提供《违约承诺函》（格式自定）作为得分依据，未提供承诺或承诺内容不满足要求的不得分。</w:t>
            </w:r>
          </w:p>
        </w:tc>
      </w:tr>
      <w:tr w14:paraId="78A9A4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tcPr>
          <w:p w14:paraId="297E8E11">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3</w:t>
            </w:r>
          </w:p>
        </w:tc>
        <w:tc>
          <w:tcPr>
            <w:tcW w:w="4196" w:type="dxa"/>
            <w:gridSpan w:val="3"/>
            <w:tcBorders>
              <w:top w:val="single" w:color="000000" w:sz="8" w:space="0"/>
              <w:left w:val="single" w:color="000000" w:sz="8" w:space="0"/>
              <w:bottom w:val="single" w:color="000000" w:sz="8" w:space="0"/>
              <w:right w:val="single" w:color="000000" w:sz="8" w:space="0"/>
            </w:tcBorders>
          </w:tcPr>
          <w:p w14:paraId="163D66B1">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商务</w:t>
            </w:r>
          </w:p>
        </w:tc>
        <w:tc>
          <w:tcPr>
            <w:tcW w:w="4763" w:type="dxa"/>
            <w:tcBorders>
              <w:top w:val="single" w:color="000000" w:sz="8" w:space="0"/>
              <w:left w:val="single" w:color="000000" w:sz="8" w:space="0"/>
              <w:bottom w:val="single" w:color="000000" w:sz="8" w:space="0"/>
              <w:right w:val="single" w:color="000000" w:sz="8" w:space="0"/>
            </w:tcBorders>
          </w:tcPr>
          <w:p w14:paraId="00480EC6">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rPr>
              <w:t>50</w:t>
            </w:r>
          </w:p>
        </w:tc>
      </w:tr>
      <w:tr w14:paraId="526A90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6F52D285">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9E5ADD">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AB95702">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96CF60D">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权重(%)</w:t>
            </w:r>
          </w:p>
        </w:tc>
        <w:tc>
          <w:tcPr>
            <w:tcW w:w="476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D31FB7">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评分准则</w:t>
            </w:r>
          </w:p>
        </w:tc>
      </w:tr>
      <w:tr w14:paraId="763579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685" w:hRule="atLeast"/>
          <w:jc w:val="center"/>
        </w:trPr>
        <w:tc>
          <w:tcPr>
            <w:tcW w:w="0" w:type="auto"/>
            <w:vMerge w:val="continue"/>
            <w:tcBorders>
              <w:left w:val="single" w:color="000000" w:sz="8" w:space="0"/>
              <w:right w:val="single" w:color="000000" w:sz="8" w:space="0"/>
            </w:tcBorders>
            <w:vAlign w:val="center"/>
          </w:tcPr>
          <w:p w14:paraId="461163F1">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tcPr>
          <w:p w14:paraId="6109052A">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835" w:type="dxa"/>
            <w:tcBorders>
              <w:top w:val="single" w:color="000000" w:sz="8" w:space="0"/>
              <w:left w:val="single" w:color="000000" w:sz="8" w:space="0"/>
              <w:bottom w:val="single" w:color="000000" w:sz="8" w:space="0"/>
              <w:right w:val="single" w:color="000000" w:sz="8" w:space="0"/>
            </w:tcBorders>
            <w:vAlign w:val="top"/>
          </w:tcPr>
          <w:p w14:paraId="0EAA22A3">
            <w:pPr>
              <w:keepNext w:val="0"/>
              <w:keepLines w:val="0"/>
              <w:pageBreakBefore w:val="0"/>
              <w:kinsoku/>
              <w:overflowPunct/>
              <w:topLinePunct w:val="0"/>
              <w:bidi w:val="0"/>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同类项目业绩情况</w:t>
            </w:r>
          </w:p>
        </w:tc>
        <w:tc>
          <w:tcPr>
            <w:tcW w:w="681" w:type="dxa"/>
            <w:tcBorders>
              <w:top w:val="single" w:color="000000" w:sz="8" w:space="0"/>
              <w:left w:val="single" w:color="000000" w:sz="8" w:space="0"/>
              <w:bottom w:val="single" w:color="000000" w:sz="8" w:space="0"/>
              <w:right w:val="single" w:color="000000" w:sz="8" w:space="0"/>
            </w:tcBorders>
            <w:vAlign w:val="top"/>
          </w:tcPr>
          <w:p w14:paraId="1314FD24">
            <w:pPr>
              <w:keepNext w:val="0"/>
              <w:keepLines w:val="0"/>
              <w:pageBreakBefore w:val="0"/>
              <w:kinsoku/>
              <w:overflowPunct/>
              <w:topLinePunct w:val="0"/>
              <w:bidi w:val="0"/>
              <w:spacing w:line="36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p>
        </w:tc>
        <w:tc>
          <w:tcPr>
            <w:tcW w:w="4763" w:type="dxa"/>
            <w:tcBorders>
              <w:top w:val="single" w:color="000000" w:sz="8" w:space="0"/>
              <w:left w:val="single" w:color="000000" w:sz="8" w:space="0"/>
              <w:bottom w:val="single" w:color="000000" w:sz="8" w:space="0"/>
              <w:right w:val="single" w:color="000000" w:sz="8" w:space="0"/>
            </w:tcBorders>
            <w:vAlign w:val="top"/>
          </w:tcPr>
          <w:p w14:paraId="1BA9A2CE">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（一）评分内容：</w:t>
            </w:r>
          </w:p>
          <w:p w14:paraId="684FE086">
            <w:pPr>
              <w:keepNext w:val="0"/>
              <w:keepLines w:val="0"/>
              <w:pageBreakBefore w:val="0"/>
              <w:kinsoku/>
              <w:overflowPunct/>
              <w:topLinePunct w:val="0"/>
              <w:bidi w:val="0"/>
              <w:adjustRightInd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20</w:t>
            </w:r>
            <w:r>
              <w:rPr>
                <w:rFonts w:hint="eastAsia" w:ascii="宋体" w:hAnsi="宋体" w:eastAsia="宋体" w:cs="宋体"/>
                <w:sz w:val="21"/>
                <w:szCs w:val="21"/>
                <w:lang w:val="en-US"/>
              </w:rPr>
              <w:t>21</w:t>
            </w:r>
            <w:r>
              <w:rPr>
                <w:rFonts w:hint="eastAsia" w:ascii="宋体" w:hAnsi="宋体" w:eastAsia="宋体" w:cs="宋体"/>
                <w:sz w:val="21"/>
                <w:szCs w:val="21"/>
              </w:rPr>
              <w:t>年1月1日至本项目投标截止日</w:t>
            </w:r>
            <w:r>
              <w:rPr>
                <w:rFonts w:hint="eastAsia" w:ascii="宋体" w:hAnsi="宋体" w:eastAsia="宋体" w:cs="宋体"/>
                <w:szCs w:val="21"/>
              </w:rPr>
              <w:t>（以合同签订日期为准）</w:t>
            </w:r>
            <w:r>
              <w:rPr>
                <w:rFonts w:hint="eastAsia" w:ascii="宋体" w:hAnsi="宋体" w:eastAsia="宋体" w:cs="宋体"/>
                <w:sz w:val="21"/>
                <w:szCs w:val="21"/>
              </w:rPr>
              <w:t>，投标人具有政府</w:t>
            </w:r>
            <w:r>
              <w:rPr>
                <w:rFonts w:hint="eastAsia" w:ascii="宋体" w:hAnsi="宋体" w:eastAsia="宋体" w:cs="宋体"/>
                <w:sz w:val="21"/>
                <w:szCs w:val="21"/>
                <w:lang w:eastAsia="zh-CN"/>
              </w:rPr>
              <w:t>机关</w:t>
            </w:r>
            <w:r>
              <w:rPr>
                <w:rFonts w:hint="eastAsia" w:ascii="宋体" w:hAnsi="宋体" w:eastAsia="宋体" w:cs="宋体"/>
                <w:sz w:val="21"/>
                <w:szCs w:val="21"/>
              </w:rPr>
              <w:t>或事业单位</w:t>
            </w:r>
            <w:r>
              <w:rPr>
                <w:rFonts w:hint="eastAsia" w:ascii="宋体" w:hAnsi="宋体" w:cs="宋体"/>
                <w:sz w:val="21"/>
                <w:szCs w:val="21"/>
                <w:lang w:eastAsia="zh-CN"/>
              </w:rPr>
              <w:t>的光影</w:t>
            </w:r>
            <w:r>
              <w:rPr>
                <w:rFonts w:hint="eastAsia" w:ascii="宋体" w:hAnsi="宋体" w:eastAsia="宋体" w:cs="宋体"/>
                <w:sz w:val="21"/>
                <w:szCs w:val="21"/>
                <w:lang w:eastAsia="zh-CN"/>
              </w:rPr>
              <w:t>活动策划执行</w:t>
            </w:r>
            <w:r>
              <w:rPr>
                <w:rFonts w:hint="eastAsia" w:ascii="宋体" w:hAnsi="宋体" w:eastAsia="宋体" w:cs="宋体"/>
                <w:bCs/>
                <w:sz w:val="21"/>
                <w:szCs w:val="21"/>
              </w:rPr>
              <w:t>同类项目业绩</w:t>
            </w:r>
            <w:r>
              <w:rPr>
                <w:rFonts w:hint="eastAsia" w:ascii="宋体" w:hAnsi="宋体" w:cs="宋体"/>
                <w:sz w:val="21"/>
                <w:szCs w:val="21"/>
                <w:lang w:eastAsia="zh-CN"/>
              </w:rPr>
              <w:t>，</w:t>
            </w:r>
            <w:r>
              <w:rPr>
                <w:rFonts w:hint="eastAsia" w:ascii="宋体" w:hAnsi="宋体" w:eastAsia="宋体" w:cs="宋体"/>
                <w:sz w:val="21"/>
                <w:szCs w:val="21"/>
              </w:rPr>
              <w:t>每提供1个项目得</w:t>
            </w:r>
            <w:r>
              <w:rPr>
                <w:rFonts w:hint="eastAsia" w:ascii="宋体" w:hAnsi="宋体" w:eastAsia="宋体" w:cs="宋体"/>
                <w:sz w:val="21"/>
                <w:szCs w:val="21"/>
                <w:lang w:val="en-US" w:eastAsia="zh-CN"/>
              </w:rPr>
              <w:t>20</w:t>
            </w:r>
            <w:r>
              <w:rPr>
                <w:rFonts w:hint="eastAsia" w:ascii="宋体" w:hAnsi="宋体" w:eastAsia="宋体" w:cs="宋体"/>
                <w:sz w:val="21"/>
                <w:szCs w:val="21"/>
              </w:rPr>
              <w:t>分</w:t>
            </w:r>
            <w:r>
              <w:rPr>
                <w:rFonts w:hint="eastAsia" w:ascii="宋体" w:hAnsi="宋体" w:cs="宋体"/>
                <w:sz w:val="21"/>
                <w:szCs w:val="21"/>
                <w:lang w:eastAsia="zh-CN"/>
              </w:rPr>
              <w:t>，</w:t>
            </w:r>
            <w:r>
              <w:rPr>
                <w:rFonts w:hint="eastAsia" w:ascii="宋体" w:hAnsi="宋体" w:eastAsia="宋体" w:cs="宋体"/>
                <w:sz w:val="21"/>
                <w:szCs w:val="21"/>
              </w:rPr>
              <w:t>最高得</w:t>
            </w:r>
            <w:r>
              <w:rPr>
                <w:rFonts w:hint="eastAsia" w:ascii="宋体" w:hAnsi="宋体" w:cs="宋体"/>
                <w:sz w:val="21"/>
                <w:szCs w:val="21"/>
                <w:lang w:val="en-US" w:eastAsia="zh-CN"/>
              </w:rPr>
              <w:t>10</w:t>
            </w:r>
            <w:r>
              <w:rPr>
                <w:rFonts w:hint="eastAsia" w:ascii="宋体" w:hAnsi="宋体" w:eastAsia="宋体" w:cs="宋体"/>
                <w:sz w:val="21"/>
                <w:szCs w:val="21"/>
                <w:lang w:val="en-US" w:eastAsia="zh-CN"/>
              </w:rPr>
              <w:t>0</w:t>
            </w:r>
            <w:r>
              <w:rPr>
                <w:rFonts w:hint="eastAsia" w:ascii="宋体" w:hAnsi="宋体" w:eastAsia="宋体" w:cs="宋体"/>
                <w:sz w:val="21"/>
                <w:szCs w:val="21"/>
              </w:rPr>
              <w:t>分。同一项目续签合同的可重复得分。</w:t>
            </w:r>
          </w:p>
          <w:p w14:paraId="18004B8D">
            <w:pPr>
              <w:keepNext w:val="0"/>
              <w:keepLines w:val="0"/>
              <w:pageBreakBefore w:val="0"/>
              <w:widowControl/>
              <w:kinsoku/>
              <w:overflowPunct/>
              <w:topLinePunct w:val="0"/>
              <w:bidi w:val="0"/>
              <w:snapToGrid w:val="0"/>
              <w:spacing w:line="360" w:lineRule="auto"/>
              <w:jc w:val="left"/>
              <w:textAlignment w:val="auto"/>
              <w:rPr>
                <w:rFonts w:hint="eastAsia" w:ascii="宋体" w:hAnsi="宋体" w:eastAsia="宋体" w:cs="宋体"/>
                <w:kern w:val="0"/>
                <w:sz w:val="21"/>
                <w:szCs w:val="21"/>
              </w:rPr>
            </w:pPr>
          </w:p>
          <w:p w14:paraId="31A823D2">
            <w:pPr>
              <w:keepNext w:val="0"/>
              <w:keepLines w:val="0"/>
              <w:pageBreakBefore w:val="0"/>
              <w:widowControl/>
              <w:kinsoku/>
              <w:overflowPunct/>
              <w:topLinePunct w:val="0"/>
              <w:bidi w:val="0"/>
              <w:snapToGrid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（二）评分依据：</w:t>
            </w:r>
          </w:p>
          <w:p w14:paraId="35A7949F">
            <w:pPr>
              <w:keepNext w:val="0"/>
              <w:keepLines w:val="0"/>
              <w:pageBreakBefore w:val="0"/>
              <w:kinsoku/>
              <w:overflowPunct/>
              <w:topLinePunct w:val="0"/>
              <w:bidi w:val="0"/>
              <w:adjustRightInd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1.提供合同关键页</w:t>
            </w:r>
            <w:r>
              <w:rPr>
                <w:rFonts w:hint="eastAsia" w:ascii="宋体" w:hAnsi="宋体" w:eastAsia="宋体" w:cs="宋体"/>
                <w:bCs/>
                <w:sz w:val="21"/>
                <w:szCs w:val="21"/>
              </w:rPr>
              <w:t>且提供的材料各项信息不得有任何遮挡</w:t>
            </w:r>
            <w:r>
              <w:rPr>
                <w:rFonts w:hint="eastAsia" w:ascii="宋体" w:hAnsi="宋体" w:eastAsia="宋体" w:cs="宋体"/>
                <w:sz w:val="21"/>
                <w:szCs w:val="21"/>
              </w:rPr>
              <w:t>；</w:t>
            </w:r>
          </w:p>
          <w:p w14:paraId="3EF3EF61">
            <w:pPr>
              <w:keepNext w:val="0"/>
              <w:keepLines w:val="0"/>
              <w:pageBreakBefore w:val="0"/>
              <w:kinsoku/>
              <w:overflowPunct/>
              <w:topLinePunct w:val="0"/>
              <w:bidi w:val="0"/>
              <w:adjustRightInd w:val="0"/>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2.通过合同关键信息无法判断是否得分的，还需提供能证明得分的其它证明资料，如项目报告或合同甲方出具的证明文件；</w:t>
            </w:r>
          </w:p>
          <w:p w14:paraId="4AA9E271">
            <w:pPr>
              <w:keepNext w:val="0"/>
              <w:keepLines w:val="0"/>
              <w:pageBreakBefore w:val="0"/>
              <w:kinsoku/>
              <w:overflowPunct/>
              <w:topLinePunct w:val="0"/>
              <w:bidi w:val="0"/>
              <w:adjustRightInd w:val="0"/>
              <w:snapToGrid w:val="0"/>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3.</w:t>
            </w:r>
            <w:r>
              <w:rPr>
                <w:rFonts w:hint="eastAsia" w:ascii="宋体" w:hAnsi="宋体" w:cs="宋体"/>
                <w:sz w:val="21"/>
                <w:szCs w:val="21"/>
                <w:lang w:val="en-US" w:eastAsia="zh-CN"/>
              </w:rPr>
              <w:t>光影</w:t>
            </w:r>
            <w:r>
              <w:rPr>
                <w:rFonts w:hint="eastAsia" w:ascii="宋体" w:hAnsi="宋体" w:eastAsia="宋体" w:cs="宋体"/>
                <w:sz w:val="21"/>
                <w:szCs w:val="21"/>
                <w:lang w:eastAsia="zh-CN"/>
              </w:rPr>
              <w:t>活动策</w:t>
            </w:r>
            <w:r>
              <w:rPr>
                <w:rFonts w:hint="eastAsia" w:ascii="宋体" w:hAnsi="宋体" w:cs="宋体"/>
                <w:sz w:val="21"/>
                <w:szCs w:val="21"/>
                <w:lang w:eastAsia="zh-CN"/>
              </w:rPr>
              <w:t>划</w:t>
            </w:r>
            <w:r>
              <w:rPr>
                <w:rFonts w:hint="eastAsia" w:ascii="宋体" w:hAnsi="宋体" w:eastAsia="宋体" w:cs="宋体"/>
                <w:sz w:val="21"/>
                <w:szCs w:val="21"/>
                <w:lang w:eastAsia="zh-CN"/>
              </w:rPr>
              <w:t>执行</w:t>
            </w:r>
            <w:r>
              <w:rPr>
                <w:rFonts w:hint="eastAsia" w:ascii="宋体" w:hAnsi="宋体" w:eastAsia="宋体" w:cs="宋体"/>
                <w:bCs w:val="0"/>
                <w:sz w:val="21"/>
                <w:szCs w:val="21"/>
              </w:rPr>
              <w:t>同类项目</w:t>
            </w:r>
            <w:r>
              <w:rPr>
                <w:rFonts w:hint="eastAsia" w:ascii="宋体" w:hAnsi="宋体" w:cs="宋体"/>
                <w:bCs w:val="0"/>
                <w:sz w:val="21"/>
                <w:szCs w:val="21"/>
                <w:lang w:eastAsia="zh-CN"/>
              </w:rPr>
              <w:t>的</w:t>
            </w:r>
            <w:r>
              <w:rPr>
                <w:rFonts w:hint="eastAsia" w:ascii="宋体" w:hAnsi="宋体" w:eastAsia="宋体" w:cs="宋体"/>
                <w:sz w:val="21"/>
                <w:szCs w:val="21"/>
                <w:lang w:val="en-US" w:eastAsia="zh-CN"/>
              </w:rPr>
              <w:t>合同内容</w:t>
            </w:r>
            <w:r>
              <w:rPr>
                <w:rFonts w:hint="eastAsia" w:ascii="宋体" w:hAnsi="宋体" w:cs="宋体"/>
                <w:sz w:val="21"/>
                <w:szCs w:val="21"/>
                <w:lang w:val="en-US" w:eastAsia="zh-CN"/>
              </w:rPr>
              <w:t>需体现：具有光影作品、</w:t>
            </w:r>
            <w:r>
              <w:rPr>
                <w:rFonts w:hint="eastAsia" w:ascii="宋体" w:hAnsi="宋体" w:eastAsia="宋体" w:cs="宋体"/>
                <w:sz w:val="21"/>
                <w:szCs w:val="21"/>
                <w:lang w:val="en-US" w:eastAsia="zh-CN"/>
              </w:rPr>
              <w:t>活动装置的</w:t>
            </w:r>
            <w:r>
              <w:rPr>
                <w:rFonts w:hint="eastAsia" w:ascii="宋体" w:hAnsi="宋体" w:cs="宋体"/>
                <w:sz w:val="21"/>
                <w:szCs w:val="21"/>
                <w:lang w:val="en-US" w:eastAsia="zh-CN"/>
              </w:rPr>
              <w:t>制作、布置、</w:t>
            </w:r>
            <w:r>
              <w:rPr>
                <w:rFonts w:hint="eastAsia" w:ascii="宋体" w:hAnsi="宋体" w:eastAsia="宋体" w:cs="宋体"/>
                <w:sz w:val="21"/>
                <w:szCs w:val="21"/>
                <w:lang w:val="en-US" w:eastAsia="zh-CN"/>
              </w:rPr>
              <w:t>运维、</w:t>
            </w:r>
            <w:r>
              <w:rPr>
                <w:rFonts w:hint="eastAsia" w:ascii="宋体" w:hAnsi="宋体" w:cs="宋体"/>
                <w:sz w:val="21"/>
                <w:szCs w:val="21"/>
                <w:lang w:val="en-US" w:eastAsia="zh-CN"/>
              </w:rPr>
              <w:t>撤场、光影</w:t>
            </w:r>
            <w:r>
              <w:rPr>
                <w:rFonts w:hint="eastAsia" w:ascii="宋体" w:hAnsi="宋体" w:eastAsia="宋体" w:cs="宋体"/>
                <w:sz w:val="21"/>
                <w:szCs w:val="21"/>
                <w:lang w:val="en-US" w:eastAsia="zh-CN"/>
              </w:rPr>
              <w:t>活动组织策划</w:t>
            </w:r>
            <w:r>
              <w:rPr>
                <w:rFonts w:hint="eastAsia" w:ascii="宋体" w:hAnsi="宋体" w:cs="宋体"/>
                <w:sz w:val="21"/>
                <w:szCs w:val="21"/>
                <w:lang w:val="en-US" w:eastAsia="zh-CN"/>
              </w:rPr>
              <w:t>等相关服务内容的</w:t>
            </w:r>
            <w:r>
              <w:rPr>
                <w:rFonts w:hint="eastAsia" w:ascii="宋体" w:hAnsi="宋体" w:eastAsia="宋体" w:cs="宋体"/>
                <w:sz w:val="21"/>
                <w:szCs w:val="21"/>
                <w:lang w:val="en-US" w:eastAsia="zh-CN"/>
              </w:rPr>
              <w:t>；</w:t>
            </w:r>
          </w:p>
          <w:p w14:paraId="400E92D6">
            <w:pPr>
              <w:keepNext w:val="0"/>
              <w:keepLines w:val="0"/>
              <w:pageBreakBefore w:val="0"/>
              <w:kinsoku/>
              <w:overflowPunct/>
              <w:topLinePunct w:val="0"/>
              <w:bidi w:val="0"/>
              <w:adjustRightInd w:val="0"/>
              <w:snapToGrid w:val="0"/>
              <w:spacing w:line="36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kern w:val="0"/>
                <w:sz w:val="21"/>
                <w:szCs w:val="21"/>
              </w:rPr>
              <w:t>以上</w:t>
            </w:r>
            <w:r>
              <w:rPr>
                <w:rFonts w:hint="eastAsia" w:ascii="宋体" w:hAnsi="宋体" w:eastAsia="宋体" w:cs="宋体"/>
                <w:sz w:val="21"/>
                <w:szCs w:val="21"/>
              </w:rPr>
              <w:t>证明文件</w:t>
            </w:r>
            <w:r>
              <w:rPr>
                <w:rFonts w:hint="eastAsia" w:ascii="宋体" w:hAnsi="宋体" w:eastAsia="宋体" w:cs="宋体"/>
                <w:kern w:val="0"/>
                <w:sz w:val="21"/>
                <w:szCs w:val="21"/>
              </w:rPr>
              <w:t>均提供扫描件，原件备查。</w:t>
            </w:r>
            <w:r>
              <w:rPr>
                <w:rFonts w:hint="eastAsia" w:ascii="宋体" w:hAnsi="宋体" w:eastAsia="宋体" w:cs="宋体"/>
                <w:sz w:val="21"/>
                <w:szCs w:val="21"/>
              </w:rPr>
              <w:t>未按要求提供有效证明材料或提供不清晰导致评委无法识别的不计得分。</w:t>
            </w:r>
          </w:p>
        </w:tc>
      </w:tr>
      <w:tr w14:paraId="6E2AFF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794" w:hRule="atLeast"/>
          <w:jc w:val="center"/>
        </w:trPr>
        <w:tc>
          <w:tcPr>
            <w:tcW w:w="0" w:type="auto"/>
            <w:vMerge w:val="continue"/>
            <w:tcBorders>
              <w:left w:val="single" w:color="000000" w:sz="8" w:space="0"/>
              <w:right w:val="single" w:color="000000" w:sz="8" w:space="0"/>
            </w:tcBorders>
            <w:vAlign w:val="center"/>
          </w:tcPr>
          <w:p w14:paraId="0B339127">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tcPr>
          <w:p w14:paraId="3C2470EB">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2835" w:type="dxa"/>
            <w:tcBorders>
              <w:top w:val="single" w:color="000000" w:sz="8" w:space="0"/>
              <w:left w:val="single" w:color="000000" w:sz="8" w:space="0"/>
              <w:bottom w:val="single" w:color="000000" w:sz="8" w:space="0"/>
              <w:right w:val="single" w:color="000000" w:sz="8" w:space="0"/>
            </w:tcBorders>
            <w:vAlign w:val="top"/>
          </w:tcPr>
          <w:p w14:paraId="0FEE27D0">
            <w:pPr>
              <w:keepNext w:val="0"/>
              <w:keepLines w:val="0"/>
              <w:pageBreakBefore w:val="0"/>
              <w:kinsoku/>
              <w:overflowPunct/>
              <w:topLinePunct w:val="0"/>
              <w:bidi w:val="0"/>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zh-CN"/>
              </w:rPr>
              <w:t>获奖（荣誉）情况</w:t>
            </w:r>
          </w:p>
        </w:tc>
        <w:tc>
          <w:tcPr>
            <w:tcW w:w="681" w:type="dxa"/>
            <w:tcBorders>
              <w:top w:val="single" w:color="000000" w:sz="8" w:space="0"/>
              <w:left w:val="single" w:color="000000" w:sz="8" w:space="0"/>
              <w:bottom w:val="single" w:color="000000" w:sz="8" w:space="0"/>
              <w:right w:val="single" w:color="000000" w:sz="8" w:space="0"/>
            </w:tcBorders>
            <w:vAlign w:val="top"/>
          </w:tcPr>
          <w:p w14:paraId="3D540AD5">
            <w:pPr>
              <w:keepNext w:val="0"/>
              <w:keepLines w:val="0"/>
              <w:pageBreakBefore w:val="0"/>
              <w:kinsoku/>
              <w:overflowPunct/>
              <w:topLinePunct w:val="0"/>
              <w:bidi w:val="0"/>
              <w:spacing w:line="36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4763" w:type="dxa"/>
            <w:tcBorders>
              <w:top w:val="single" w:color="000000" w:sz="8" w:space="0"/>
              <w:left w:val="single" w:color="000000" w:sz="8" w:space="0"/>
              <w:bottom w:val="single" w:color="000000" w:sz="8" w:space="0"/>
              <w:right w:val="single" w:color="000000" w:sz="8" w:space="0"/>
            </w:tcBorders>
            <w:vAlign w:val="top"/>
          </w:tcPr>
          <w:p w14:paraId="2B15722C">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（一）评分内容：</w:t>
            </w:r>
          </w:p>
          <w:p w14:paraId="67613447">
            <w:pPr>
              <w:keepNext w:val="0"/>
              <w:keepLines w:val="0"/>
              <w:pageBreakBefore w:val="0"/>
              <w:numPr>
                <w:ilvl w:val="-1"/>
                <w:numId w:val="0"/>
              </w:numPr>
              <w:kinsoku/>
              <w:overflowPunct/>
              <w:topLinePunct w:val="0"/>
              <w:bidi w:val="0"/>
              <w:spacing w:line="360" w:lineRule="auto"/>
              <w:textAlignment w:val="auto"/>
              <w:rPr>
                <w:rFonts w:hint="eastAsia" w:ascii="宋体" w:hAnsi="宋体" w:eastAsia="宋体" w:cs="宋体"/>
                <w:sz w:val="21"/>
                <w:szCs w:val="21"/>
                <w:lang w:val="en-US"/>
              </w:rPr>
            </w:pPr>
            <w:r>
              <w:rPr>
                <w:rFonts w:hint="eastAsia" w:ascii="宋体" w:hAnsi="宋体" w:eastAsia="宋体" w:cs="宋体"/>
                <w:sz w:val="21"/>
                <w:szCs w:val="21"/>
                <w:lang w:eastAsia="zh-CN"/>
              </w:rPr>
              <w:t>自</w:t>
            </w:r>
            <w:r>
              <w:rPr>
                <w:rFonts w:hint="eastAsia" w:ascii="宋体" w:hAnsi="宋体" w:eastAsia="宋体" w:cs="宋体"/>
                <w:sz w:val="21"/>
                <w:szCs w:val="21"/>
              </w:rPr>
              <w:t>20</w:t>
            </w:r>
            <w:r>
              <w:rPr>
                <w:rFonts w:hint="eastAsia" w:ascii="宋体" w:hAnsi="宋体" w:eastAsia="宋体" w:cs="宋体"/>
                <w:sz w:val="21"/>
                <w:szCs w:val="21"/>
                <w:lang w:val="en-US" w:eastAsia="zh-CN"/>
              </w:rPr>
              <w:t>21</w:t>
            </w:r>
            <w:r>
              <w:rPr>
                <w:rFonts w:hint="eastAsia" w:ascii="宋体" w:hAnsi="宋体" w:eastAsia="宋体" w:cs="宋体"/>
                <w:sz w:val="21"/>
                <w:szCs w:val="21"/>
              </w:rPr>
              <w:t>年1月1日至本项目投标截止日</w:t>
            </w:r>
            <w:r>
              <w:rPr>
                <w:rFonts w:hint="eastAsia" w:ascii="宋体" w:hAnsi="宋体" w:cs="宋体"/>
                <w:szCs w:val="21"/>
                <w:lang w:val="en-US" w:eastAsia="zh-CN"/>
              </w:rPr>
              <w:t>（</w:t>
            </w:r>
            <w:r>
              <w:rPr>
                <w:rFonts w:hint="eastAsia" w:ascii="宋体" w:hAnsi="宋体" w:cs="宋体"/>
                <w:szCs w:val="21"/>
                <w:lang w:eastAsia="zh-CN"/>
              </w:rPr>
              <w:t>以证书落款日期为准</w:t>
            </w:r>
            <w:r>
              <w:rPr>
                <w:rFonts w:hint="eastAsia" w:ascii="宋体" w:hAnsi="宋体" w:cs="宋体"/>
                <w:szCs w:val="21"/>
                <w:lang w:val="en-US" w:eastAsia="zh-CN"/>
              </w:rPr>
              <w:t>）</w:t>
            </w:r>
            <w:r>
              <w:rPr>
                <w:rFonts w:hint="eastAsia" w:ascii="宋体" w:hAnsi="宋体" w:eastAsia="宋体" w:cs="宋体"/>
                <w:sz w:val="21"/>
                <w:szCs w:val="21"/>
              </w:rPr>
              <w:t>，投标人每获得</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项</w:t>
            </w:r>
            <w:r>
              <w:rPr>
                <w:rFonts w:hint="eastAsia" w:ascii="宋体" w:hAnsi="宋体" w:eastAsia="宋体" w:cs="宋体"/>
                <w:sz w:val="21"/>
                <w:szCs w:val="21"/>
              </w:rPr>
              <w:t>政府</w:t>
            </w:r>
            <w:r>
              <w:rPr>
                <w:rFonts w:hint="eastAsia" w:ascii="宋体" w:hAnsi="宋体" w:eastAsia="宋体" w:cs="宋体"/>
                <w:sz w:val="21"/>
                <w:szCs w:val="21"/>
                <w:lang w:eastAsia="zh-CN"/>
              </w:rPr>
              <w:t>机关</w:t>
            </w:r>
            <w:r>
              <w:rPr>
                <w:rFonts w:hint="eastAsia" w:ascii="宋体" w:hAnsi="宋体" w:eastAsia="宋体" w:cs="宋体"/>
                <w:sz w:val="21"/>
                <w:szCs w:val="21"/>
              </w:rPr>
              <w:t>或事业单位颁发的</w:t>
            </w:r>
            <w:r>
              <w:rPr>
                <w:rFonts w:hint="eastAsia" w:ascii="宋体" w:hAnsi="宋体" w:cs="宋体"/>
                <w:sz w:val="21"/>
                <w:szCs w:val="21"/>
                <w:lang w:eastAsia="zh-CN"/>
              </w:rPr>
              <w:t>光影</w:t>
            </w:r>
            <w:r>
              <w:rPr>
                <w:rFonts w:hint="eastAsia" w:ascii="宋体" w:hAnsi="宋体" w:eastAsia="宋体" w:cs="宋体"/>
                <w:sz w:val="21"/>
                <w:szCs w:val="21"/>
              </w:rPr>
              <w:t>活动类</w:t>
            </w:r>
            <w:r>
              <w:rPr>
                <w:rFonts w:hint="eastAsia" w:ascii="宋体" w:hAnsi="宋体" w:eastAsia="宋体" w:cs="宋体"/>
                <w:sz w:val="21"/>
                <w:szCs w:val="21"/>
                <w:lang w:eastAsia="zh-CN"/>
              </w:rPr>
              <w:t>相关</w:t>
            </w:r>
            <w:r>
              <w:rPr>
                <w:rFonts w:hint="eastAsia" w:ascii="宋体" w:hAnsi="宋体" w:eastAsia="宋体" w:cs="宋体"/>
                <w:sz w:val="21"/>
                <w:szCs w:val="21"/>
              </w:rPr>
              <w:t>的奖项或感谢信得</w:t>
            </w:r>
            <w:r>
              <w:rPr>
                <w:rFonts w:hint="eastAsia" w:ascii="宋体" w:hAnsi="宋体" w:eastAsia="宋体" w:cs="宋体"/>
                <w:sz w:val="21"/>
                <w:szCs w:val="21"/>
                <w:lang w:val="en-US" w:eastAsia="zh-CN"/>
              </w:rPr>
              <w:t>50</w:t>
            </w:r>
            <w:r>
              <w:rPr>
                <w:rFonts w:hint="eastAsia" w:ascii="宋体" w:hAnsi="宋体" w:eastAsia="宋体" w:cs="宋体"/>
                <w:sz w:val="21"/>
                <w:szCs w:val="21"/>
              </w:rPr>
              <w:t>分，</w:t>
            </w:r>
            <w:r>
              <w:rPr>
                <w:rFonts w:hint="eastAsia" w:ascii="宋体" w:hAnsi="宋体" w:eastAsia="宋体" w:cs="宋体"/>
                <w:sz w:val="21"/>
                <w:szCs w:val="21"/>
                <w:lang w:val="en-US" w:eastAsia="zh-CN"/>
              </w:rPr>
              <w:t>本项最高10</w:t>
            </w:r>
            <w:r>
              <w:rPr>
                <w:rFonts w:hint="eastAsia" w:ascii="宋体" w:hAnsi="宋体" w:eastAsia="宋体" w:cs="宋体"/>
                <w:sz w:val="21"/>
                <w:szCs w:val="21"/>
                <w:u w:val="none"/>
                <w:lang w:val="en-US" w:eastAsia="zh-CN"/>
              </w:rPr>
              <w:t>0</w:t>
            </w:r>
            <w:r>
              <w:rPr>
                <w:rFonts w:hint="eastAsia" w:ascii="宋体" w:hAnsi="宋体" w:eastAsia="宋体" w:cs="宋体"/>
                <w:sz w:val="21"/>
                <w:szCs w:val="21"/>
                <w:u w:val="none"/>
              </w:rPr>
              <w:t>分</w:t>
            </w:r>
            <w:r>
              <w:rPr>
                <w:rFonts w:hint="eastAsia" w:ascii="宋体" w:hAnsi="宋体" w:eastAsia="宋体" w:cs="宋体"/>
                <w:sz w:val="21"/>
                <w:szCs w:val="21"/>
              </w:rPr>
              <w:t>。</w:t>
            </w:r>
            <w:r>
              <w:rPr>
                <w:rFonts w:hint="eastAsia" w:ascii="宋体" w:hAnsi="宋体" w:eastAsia="宋体" w:cs="宋体"/>
                <w:sz w:val="21"/>
                <w:szCs w:val="21"/>
                <w:lang w:val="en-US" w:eastAsia="zh-CN"/>
              </w:rPr>
              <w:t>同类奖项不同年度可</w:t>
            </w:r>
            <w:r>
              <w:rPr>
                <w:rFonts w:hint="eastAsia" w:ascii="宋体" w:hAnsi="宋体" w:cs="宋体"/>
                <w:sz w:val="21"/>
                <w:szCs w:val="21"/>
                <w:lang w:val="en-US" w:eastAsia="zh-CN"/>
              </w:rPr>
              <w:t>重复</w:t>
            </w:r>
            <w:r>
              <w:rPr>
                <w:rFonts w:hint="eastAsia" w:ascii="宋体" w:hAnsi="宋体" w:eastAsia="宋体" w:cs="宋体"/>
                <w:sz w:val="21"/>
                <w:szCs w:val="21"/>
                <w:lang w:val="en-US" w:eastAsia="zh-CN"/>
              </w:rPr>
              <w:t>得分。</w:t>
            </w:r>
          </w:p>
          <w:p w14:paraId="0712D572">
            <w:pPr>
              <w:keepNext w:val="0"/>
              <w:keepLines w:val="0"/>
              <w:pageBreakBefore w:val="0"/>
              <w:kinsoku/>
              <w:overflowPunct/>
              <w:topLinePunct w:val="0"/>
              <w:autoSpaceDE/>
              <w:autoSpaceDN/>
              <w:bidi w:val="0"/>
              <w:adjustRightInd/>
              <w:spacing w:line="360" w:lineRule="auto"/>
              <w:jc w:val="left"/>
              <w:textAlignment w:val="auto"/>
              <w:rPr>
                <w:rFonts w:hint="eastAsia" w:ascii="宋体" w:hAnsi="宋体" w:eastAsia="宋体" w:cs="宋体"/>
                <w:sz w:val="21"/>
                <w:szCs w:val="21"/>
              </w:rPr>
            </w:pPr>
          </w:p>
          <w:p w14:paraId="1CF60DB0">
            <w:pPr>
              <w:keepNext w:val="0"/>
              <w:keepLines w:val="0"/>
              <w:pageBreakBefore w:val="0"/>
              <w:kinsoku/>
              <w:overflowPunct/>
              <w:topLinePunct w:val="0"/>
              <w:autoSpaceDE/>
              <w:autoSpaceDN/>
              <w:bidi w:val="0"/>
              <w:adjustRightIn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（二）评分依据：</w:t>
            </w:r>
          </w:p>
          <w:p w14:paraId="4F77E36D">
            <w:pPr>
              <w:keepNext w:val="0"/>
              <w:keepLines w:val="0"/>
              <w:pageBreakBefore w:val="0"/>
              <w:kinsoku/>
              <w:overflowPunct/>
              <w:topLinePunct w:val="0"/>
              <w:bidi w:val="0"/>
              <w:spacing w:line="360" w:lineRule="auto"/>
              <w:ind w:left="0"/>
              <w:jc w:val="left"/>
              <w:textAlignment w:val="auto"/>
              <w:rPr>
                <w:rFonts w:hint="eastAsia" w:ascii="宋体" w:hAnsi="宋体" w:eastAsia="宋体" w:cs="宋体"/>
                <w:sz w:val="21"/>
                <w:szCs w:val="21"/>
              </w:rPr>
            </w:pPr>
            <w:r>
              <w:rPr>
                <w:rFonts w:hint="eastAsia" w:ascii="宋体" w:hAnsi="宋体" w:eastAsia="宋体" w:cs="宋体"/>
                <w:sz w:val="21"/>
                <w:szCs w:val="21"/>
              </w:rPr>
              <w:t>1.要求提供奖项照片或获奖（荣誉）证书</w:t>
            </w:r>
            <w:r>
              <w:rPr>
                <w:rFonts w:hint="eastAsia" w:ascii="宋体" w:hAnsi="宋体" w:eastAsia="宋体" w:cs="宋体"/>
                <w:sz w:val="21"/>
                <w:szCs w:val="21"/>
                <w:lang w:eastAsia="zh-CN"/>
              </w:rPr>
              <w:t>或感谢信</w:t>
            </w:r>
            <w:r>
              <w:rPr>
                <w:rFonts w:hint="eastAsia" w:ascii="宋体" w:hAnsi="宋体" w:eastAsia="宋体" w:cs="宋体"/>
                <w:sz w:val="21"/>
                <w:szCs w:val="21"/>
              </w:rPr>
              <w:t>作为得分依据；</w:t>
            </w:r>
          </w:p>
          <w:p w14:paraId="56C566AA">
            <w:pPr>
              <w:keepNext w:val="0"/>
              <w:keepLines w:val="0"/>
              <w:pageBreakBefore w:val="0"/>
              <w:kinsoku/>
              <w:overflowPunct/>
              <w:topLinePunct w:val="0"/>
              <w:bidi w:val="0"/>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2.提供以上证明文件扫描件，如涉及网站截图或照片等证明材料,需提供清晰图片,原件备查。未按要求提供有效证明材料或提供不清晰导致评委无法识别的不计得分。</w:t>
            </w:r>
          </w:p>
        </w:tc>
      </w:tr>
      <w:tr w14:paraId="7EF02C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14A0950A">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tcPr>
          <w:p w14:paraId="53B8D560">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2835" w:type="dxa"/>
            <w:tcBorders>
              <w:top w:val="single" w:color="000000" w:sz="8" w:space="0"/>
              <w:left w:val="single" w:color="000000" w:sz="8" w:space="0"/>
              <w:bottom w:val="single" w:color="000000" w:sz="8" w:space="0"/>
              <w:right w:val="single" w:color="000000" w:sz="8" w:space="0"/>
            </w:tcBorders>
            <w:vAlign w:val="top"/>
          </w:tcPr>
          <w:p w14:paraId="24388147">
            <w:pPr>
              <w:keepNext w:val="0"/>
              <w:keepLines w:val="0"/>
              <w:pageBreakBefore w:val="0"/>
              <w:kinsoku/>
              <w:overflowPunct/>
              <w:topLinePunct w:val="0"/>
              <w:bidi w:val="0"/>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拟安排的项目负责人（仅限1人）情况</w:t>
            </w:r>
          </w:p>
        </w:tc>
        <w:tc>
          <w:tcPr>
            <w:tcW w:w="681" w:type="dxa"/>
            <w:tcBorders>
              <w:top w:val="single" w:color="000000" w:sz="8" w:space="0"/>
              <w:left w:val="single" w:color="000000" w:sz="8" w:space="0"/>
              <w:bottom w:val="single" w:color="000000" w:sz="8" w:space="0"/>
              <w:right w:val="single" w:color="000000" w:sz="8" w:space="0"/>
            </w:tcBorders>
            <w:vAlign w:val="top"/>
          </w:tcPr>
          <w:p w14:paraId="3B00DB9A">
            <w:pPr>
              <w:keepNext w:val="0"/>
              <w:keepLines w:val="0"/>
              <w:pageBreakBefore w:val="0"/>
              <w:kinsoku/>
              <w:overflowPunct/>
              <w:topLinePunct w:val="0"/>
              <w:bidi w:val="0"/>
              <w:spacing w:line="36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rPr>
              <w:t>8</w:t>
            </w:r>
          </w:p>
        </w:tc>
        <w:tc>
          <w:tcPr>
            <w:tcW w:w="4763" w:type="dxa"/>
            <w:tcBorders>
              <w:top w:val="single" w:color="000000" w:sz="8" w:space="0"/>
              <w:left w:val="single" w:color="000000" w:sz="8" w:space="0"/>
              <w:bottom w:val="single" w:color="000000" w:sz="8" w:space="0"/>
              <w:right w:val="single" w:color="000000" w:sz="8" w:space="0"/>
            </w:tcBorders>
            <w:vAlign w:val="top"/>
          </w:tcPr>
          <w:p w14:paraId="59945CBC">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（一）评分内容：</w:t>
            </w:r>
          </w:p>
          <w:p w14:paraId="6F6FF347">
            <w:pPr>
              <w:keepNext w:val="0"/>
              <w:keepLines w:val="0"/>
              <w:pageBreakBefore w:val="0"/>
              <w:kinsoku/>
              <w:overflowPunct/>
              <w:topLinePunct w:val="0"/>
              <w:bidi w:val="0"/>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拟安排的项目负责人（仅限1人）需为投标人自有员工，否则本项不得分。在此基础上</w:t>
            </w:r>
            <w:r>
              <w:rPr>
                <w:rFonts w:hint="eastAsia" w:ascii="宋体" w:hAnsi="宋体" w:eastAsia="宋体" w:cs="宋体"/>
                <w:szCs w:val="21"/>
              </w:rPr>
              <w:t>，按以下标准评分：</w:t>
            </w:r>
          </w:p>
          <w:p w14:paraId="1596AC66">
            <w:pPr>
              <w:keepNext w:val="0"/>
              <w:keepLines w:val="0"/>
              <w:pageBreakBefore w:val="0"/>
              <w:kinsoku/>
              <w:overflowPunct/>
              <w:topLinePunct w:val="0"/>
              <w:bidi w:val="0"/>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t>（1）具有本科（含）以上学历或学士（含）以上学位的得</w:t>
            </w:r>
            <w:r>
              <w:rPr>
                <w:rFonts w:hint="eastAsia" w:ascii="宋体" w:hAnsi="宋体" w:eastAsia="宋体" w:cs="宋体"/>
                <w:sz w:val="21"/>
                <w:szCs w:val="21"/>
                <w:lang w:val="en-US" w:eastAsia="zh-CN"/>
              </w:rPr>
              <w:t>2</w:t>
            </w:r>
            <w:r>
              <w:rPr>
                <w:rFonts w:hint="eastAsia" w:ascii="宋体" w:hAnsi="宋体" w:eastAsia="宋体" w:cs="宋体"/>
                <w:sz w:val="21"/>
                <w:szCs w:val="21"/>
              </w:rPr>
              <w:t>0分</w:t>
            </w:r>
            <w:r>
              <w:rPr>
                <w:rFonts w:hint="eastAsia" w:ascii="宋体" w:hAnsi="宋体" w:eastAsia="宋体" w:cs="宋体"/>
                <w:sz w:val="21"/>
                <w:szCs w:val="21"/>
                <w:lang w:eastAsia="zh-CN"/>
              </w:rPr>
              <w:t>，</w:t>
            </w:r>
            <w:r>
              <w:rPr>
                <w:rFonts w:hint="eastAsia" w:ascii="宋体" w:hAnsi="宋体" w:cs="宋体"/>
                <w:sz w:val="21"/>
                <w:szCs w:val="21"/>
                <w:lang w:eastAsia="zh-CN"/>
              </w:rPr>
              <w:t>大专</w:t>
            </w:r>
            <w:r>
              <w:rPr>
                <w:rFonts w:hint="eastAsia" w:ascii="宋体" w:hAnsi="宋体" w:eastAsia="宋体" w:cs="宋体"/>
                <w:sz w:val="21"/>
                <w:szCs w:val="21"/>
                <w:lang w:eastAsia="zh-CN"/>
              </w:rPr>
              <w:t>学历的得</w:t>
            </w:r>
            <w:r>
              <w:rPr>
                <w:rFonts w:hint="eastAsia" w:ascii="宋体" w:hAnsi="宋体" w:eastAsia="宋体" w:cs="宋体"/>
                <w:sz w:val="21"/>
                <w:szCs w:val="21"/>
                <w:lang w:val="en-US" w:eastAsia="zh-CN"/>
              </w:rPr>
              <w:t>10分</w:t>
            </w:r>
            <w:r>
              <w:rPr>
                <w:rFonts w:hint="eastAsia" w:ascii="宋体" w:hAnsi="宋体" w:cs="宋体"/>
                <w:sz w:val="21"/>
                <w:szCs w:val="21"/>
                <w:lang w:val="en-US" w:eastAsia="zh-CN"/>
              </w:rPr>
              <w:t>，此项最高得20分</w:t>
            </w:r>
            <w:r>
              <w:rPr>
                <w:rFonts w:hint="eastAsia" w:ascii="宋体" w:hAnsi="宋体" w:eastAsia="宋体" w:cs="宋体"/>
                <w:sz w:val="21"/>
                <w:szCs w:val="21"/>
              </w:rPr>
              <w:t>；</w:t>
            </w:r>
          </w:p>
          <w:p w14:paraId="59257EA3">
            <w:pPr>
              <w:keepNext w:val="0"/>
              <w:keepLines w:val="0"/>
              <w:pageBreakBefore w:val="0"/>
              <w:widowControl/>
              <w:kinsoku/>
              <w:overflowPunct/>
              <w:topLinePunct w:val="0"/>
              <w:bidi w:val="0"/>
              <w:snapToGrid/>
              <w:spacing w:line="360" w:lineRule="auto"/>
              <w:jc w:val="left"/>
              <w:textAlignment w:val="auto"/>
              <w:rPr>
                <w:rFonts w:hint="eastAsia" w:ascii="宋体" w:hAnsi="宋体" w:eastAsia="宋体" w:cs="宋体"/>
                <w:kern w:val="0"/>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自</w:t>
            </w:r>
            <w:r>
              <w:rPr>
                <w:rFonts w:hint="eastAsia" w:ascii="宋体" w:hAnsi="宋体" w:eastAsia="宋体" w:cs="宋体"/>
                <w:sz w:val="21"/>
                <w:szCs w:val="21"/>
              </w:rPr>
              <w:t>20</w:t>
            </w:r>
            <w:r>
              <w:rPr>
                <w:rFonts w:hint="eastAsia" w:ascii="宋体" w:hAnsi="宋体" w:eastAsia="宋体" w:cs="宋体"/>
                <w:sz w:val="21"/>
                <w:szCs w:val="21"/>
                <w:lang w:val="en-US" w:eastAsia="zh-CN"/>
              </w:rPr>
              <w:t>20</w:t>
            </w:r>
            <w:r>
              <w:rPr>
                <w:rFonts w:hint="eastAsia" w:ascii="宋体" w:hAnsi="宋体" w:eastAsia="宋体" w:cs="宋体"/>
                <w:sz w:val="21"/>
                <w:szCs w:val="21"/>
              </w:rPr>
              <w:t>年1月1日至本项目投标截止日</w:t>
            </w:r>
            <w:r>
              <w:rPr>
                <w:rFonts w:hint="eastAsia" w:ascii="宋体" w:hAnsi="宋体" w:cs="宋体"/>
                <w:szCs w:val="21"/>
                <w:lang w:val="en-US" w:eastAsia="zh-CN"/>
              </w:rPr>
              <w:t>（以合同签订日期为准）</w:t>
            </w:r>
            <w:r>
              <w:rPr>
                <w:rFonts w:hint="eastAsia" w:ascii="宋体" w:hAnsi="宋体" w:eastAsia="宋体" w:cs="宋体"/>
                <w:sz w:val="21"/>
                <w:szCs w:val="21"/>
              </w:rPr>
              <w:t>，</w:t>
            </w:r>
            <w:r>
              <w:rPr>
                <w:rFonts w:hint="eastAsia" w:ascii="宋体" w:hAnsi="宋体" w:eastAsia="宋体" w:cs="宋体"/>
                <w:sz w:val="21"/>
                <w:szCs w:val="21"/>
                <w:lang w:eastAsia="zh-CN"/>
              </w:rPr>
              <w:t>项目负责人</w:t>
            </w:r>
            <w:r>
              <w:rPr>
                <w:rFonts w:hint="eastAsia" w:ascii="宋体" w:hAnsi="宋体" w:eastAsia="宋体" w:cs="宋体"/>
                <w:sz w:val="21"/>
                <w:szCs w:val="21"/>
              </w:rPr>
              <w:t>具有</w:t>
            </w:r>
            <w:r>
              <w:rPr>
                <w:rFonts w:hint="eastAsia" w:ascii="宋体" w:hAnsi="宋体" w:eastAsia="宋体" w:cs="宋体"/>
                <w:sz w:val="21"/>
                <w:szCs w:val="21"/>
                <w:lang w:eastAsia="zh-CN"/>
              </w:rPr>
              <w:t>参与</w:t>
            </w:r>
            <w:r>
              <w:rPr>
                <w:rFonts w:hint="eastAsia" w:ascii="宋体" w:hAnsi="宋体" w:eastAsia="宋体" w:cs="宋体"/>
                <w:sz w:val="21"/>
                <w:szCs w:val="21"/>
              </w:rPr>
              <w:t>政府</w:t>
            </w:r>
            <w:r>
              <w:rPr>
                <w:rFonts w:hint="eastAsia" w:ascii="宋体" w:hAnsi="宋体" w:eastAsia="宋体" w:cs="宋体"/>
                <w:sz w:val="21"/>
                <w:szCs w:val="21"/>
                <w:lang w:eastAsia="zh-CN"/>
              </w:rPr>
              <w:t>机关</w:t>
            </w:r>
            <w:r>
              <w:rPr>
                <w:rFonts w:hint="eastAsia" w:ascii="宋体" w:hAnsi="宋体" w:eastAsia="宋体" w:cs="宋体"/>
                <w:sz w:val="21"/>
                <w:szCs w:val="21"/>
              </w:rPr>
              <w:t>或事业单位</w:t>
            </w:r>
            <w:r>
              <w:rPr>
                <w:rFonts w:hint="eastAsia" w:ascii="宋体" w:hAnsi="宋体" w:cs="宋体"/>
                <w:sz w:val="21"/>
                <w:szCs w:val="21"/>
                <w:lang w:eastAsia="zh-CN"/>
              </w:rPr>
              <w:t>光影</w:t>
            </w:r>
            <w:r>
              <w:rPr>
                <w:rFonts w:hint="eastAsia" w:ascii="宋体" w:hAnsi="宋体" w:eastAsia="宋体" w:cs="宋体"/>
                <w:sz w:val="21"/>
                <w:szCs w:val="21"/>
                <w:lang w:eastAsia="zh-CN"/>
              </w:rPr>
              <w:t>活动</w:t>
            </w:r>
            <w:r>
              <w:rPr>
                <w:rFonts w:hint="eastAsia" w:ascii="宋体" w:hAnsi="宋体" w:cs="宋体"/>
                <w:sz w:val="21"/>
                <w:szCs w:val="21"/>
                <w:lang w:eastAsia="zh-CN"/>
              </w:rPr>
              <w:t>类</w:t>
            </w:r>
            <w:r>
              <w:rPr>
                <w:rFonts w:hint="eastAsia" w:ascii="宋体" w:hAnsi="宋体" w:eastAsia="宋体" w:cs="宋体"/>
                <w:sz w:val="21"/>
                <w:szCs w:val="21"/>
                <w:lang w:eastAsia="zh-CN"/>
              </w:rPr>
              <w:t>策划执行类项目的，每</w:t>
            </w:r>
            <w:r>
              <w:rPr>
                <w:rFonts w:hint="eastAsia" w:ascii="宋体" w:hAnsi="宋体" w:cs="宋体"/>
                <w:sz w:val="21"/>
                <w:szCs w:val="21"/>
                <w:lang w:val="en-US" w:eastAsia="zh-CN"/>
              </w:rPr>
              <w:t>提供1</w:t>
            </w:r>
            <w:r>
              <w:rPr>
                <w:rFonts w:hint="eastAsia" w:ascii="宋体" w:hAnsi="宋体" w:eastAsia="宋体" w:cs="宋体"/>
                <w:sz w:val="21"/>
                <w:szCs w:val="21"/>
                <w:lang w:eastAsia="zh-CN"/>
              </w:rPr>
              <w:t>个</w:t>
            </w:r>
            <w:r>
              <w:rPr>
                <w:rFonts w:hint="eastAsia" w:ascii="宋体" w:hAnsi="宋体" w:cs="宋体"/>
                <w:sz w:val="21"/>
                <w:szCs w:val="21"/>
                <w:lang w:val="en-US" w:eastAsia="zh-CN"/>
              </w:rPr>
              <w:t>项目</w:t>
            </w:r>
            <w:r>
              <w:rPr>
                <w:rFonts w:hint="eastAsia" w:ascii="宋体" w:hAnsi="宋体" w:eastAsia="宋体" w:cs="宋体"/>
                <w:sz w:val="21"/>
                <w:szCs w:val="21"/>
                <w:lang w:eastAsia="zh-CN"/>
              </w:rPr>
              <w:t>得</w:t>
            </w:r>
            <w:r>
              <w:rPr>
                <w:rFonts w:hint="eastAsia" w:ascii="宋体" w:hAnsi="宋体" w:eastAsia="宋体" w:cs="宋体"/>
                <w:sz w:val="21"/>
                <w:szCs w:val="21"/>
                <w:lang w:val="en-US" w:eastAsia="zh-CN"/>
              </w:rPr>
              <w:t>20</w:t>
            </w:r>
            <w:r>
              <w:rPr>
                <w:rFonts w:hint="eastAsia" w:ascii="宋体" w:hAnsi="宋体" w:eastAsia="宋体" w:cs="宋体"/>
                <w:sz w:val="21"/>
                <w:szCs w:val="21"/>
                <w:lang w:eastAsia="zh-CN"/>
              </w:rPr>
              <w:t>分，最高得</w:t>
            </w:r>
            <w:r>
              <w:rPr>
                <w:rFonts w:hint="eastAsia" w:ascii="宋体" w:hAnsi="宋体" w:eastAsia="宋体" w:cs="宋体"/>
                <w:sz w:val="21"/>
                <w:szCs w:val="21"/>
                <w:lang w:val="en-US" w:eastAsia="zh-CN"/>
              </w:rPr>
              <w:t>80分。</w:t>
            </w:r>
          </w:p>
          <w:p w14:paraId="330BD544">
            <w:pPr>
              <w:keepNext w:val="0"/>
              <w:keepLines w:val="0"/>
              <w:pageBreakBefore w:val="0"/>
              <w:widowControl/>
              <w:kinsoku/>
              <w:overflowPunct/>
              <w:topLinePunct w:val="0"/>
              <w:bidi w:val="0"/>
              <w:snapToGrid w:val="0"/>
              <w:spacing w:line="360" w:lineRule="auto"/>
              <w:jc w:val="left"/>
              <w:textAlignment w:val="auto"/>
              <w:rPr>
                <w:rFonts w:hint="eastAsia" w:ascii="宋体" w:hAnsi="宋体" w:eastAsia="宋体" w:cs="宋体"/>
                <w:kern w:val="0"/>
                <w:sz w:val="21"/>
                <w:szCs w:val="21"/>
              </w:rPr>
            </w:pPr>
          </w:p>
          <w:p w14:paraId="67FABA66">
            <w:pPr>
              <w:keepNext w:val="0"/>
              <w:keepLines w:val="0"/>
              <w:pageBreakBefore w:val="0"/>
              <w:widowControl/>
              <w:kinsoku/>
              <w:overflowPunct/>
              <w:topLinePunct w:val="0"/>
              <w:bidi w:val="0"/>
              <w:snapToGrid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（二）评分依据：</w:t>
            </w:r>
          </w:p>
          <w:p w14:paraId="7B8F319E">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提供项目负责人通过投标单位缴纳的载有社保部门或税务部门公章的近三个月内任意一个月的个人社保证明；如供应商为新成立单位且成立时间不足一个月的，可提供加盖公章的情况说明或者证明材料，无需提供相关人员社保，亦视为符合；如为退休返聘人员则提供劳动合同或返聘协议，无需提供相关人员社保，亦视为符合；</w:t>
            </w:r>
          </w:p>
          <w:p w14:paraId="5ED26211">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考察学历的，要求</w:t>
            </w:r>
            <w:r>
              <w:rPr>
                <w:rFonts w:hint="eastAsia" w:ascii="宋体" w:hAnsi="宋体" w:eastAsia="宋体" w:cs="宋体"/>
                <w:sz w:val="21"/>
                <w:szCs w:val="21"/>
              </w:rPr>
              <w:t xml:space="preserve">提供毕业证书（或学位证书）以及学信网查询记录，对于学信网无法查询的，还需提供毕业院校或人社部门或教育部门等颁发机构或监管机构出具的证明，否则无效； </w:t>
            </w:r>
          </w:p>
          <w:p w14:paraId="4AFA31C7">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考察业绩的</w:t>
            </w:r>
            <w:r>
              <w:rPr>
                <w:rFonts w:hint="eastAsia" w:ascii="宋体" w:hAnsi="宋体" w:eastAsia="宋体" w:cs="宋体"/>
                <w:sz w:val="21"/>
                <w:szCs w:val="21"/>
              </w:rPr>
              <w:t>，要求提供项目合同关键信息作为评分依据，</w:t>
            </w:r>
            <w:r>
              <w:rPr>
                <w:rFonts w:hint="eastAsia" w:ascii="宋体" w:hAnsi="宋体" w:eastAsia="宋体" w:cs="宋体"/>
                <w:sz w:val="21"/>
                <w:szCs w:val="21"/>
                <w:lang w:eastAsia="zh-CN"/>
              </w:rPr>
              <w:t>项目负责人必须出现在合同关键信息或者验收报告内，</w:t>
            </w:r>
            <w:r>
              <w:rPr>
                <w:rFonts w:hint="eastAsia" w:ascii="宋体" w:hAnsi="宋体" w:eastAsia="宋体" w:cs="宋体"/>
                <w:sz w:val="21"/>
                <w:szCs w:val="21"/>
              </w:rPr>
              <w:t>通过合同关键信息无法判断是否得分的，还需同时提供合同甲方出具的证明文件；</w:t>
            </w:r>
          </w:p>
          <w:p w14:paraId="2CCDA047">
            <w:pPr>
              <w:keepNext w:val="0"/>
              <w:keepLines w:val="0"/>
              <w:pageBreakBefore w:val="0"/>
              <w:kinsoku/>
              <w:overflowPunct/>
              <w:topLinePunct w:val="0"/>
              <w:bidi w:val="0"/>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kern w:val="0"/>
                <w:sz w:val="21"/>
                <w:szCs w:val="21"/>
              </w:rPr>
              <w:t>提供</w:t>
            </w:r>
            <w:r>
              <w:rPr>
                <w:rFonts w:hint="eastAsia" w:ascii="宋体" w:hAnsi="宋体" w:eastAsia="宋体" w:cs="宋体"/>
                <w:sz w:val="21"/>
                <w:szCs w:val="21"/>
              </w:rPr>
              <w:t>以上证明文件</w:t>
            </w:r>
            <w:r>
              <w:rPr>
                <w:rFonts w:hint="eastAsia" w:ascii="宋体" w:hAnsi="宋体" w:eastAsia="宋体" w:cs="宋体"/>
                <w:kern w:val="0"/>
                <w:sz w:val="21"/>
                <w:szCs w:val="21"/>
              </w:rPr>
              <w:t>扫描件，</w:t>
            </w:r>
            <w:r>
              <w:rPr>
                <w:rFonts w:hint="eastAsia" w:ascii="宋体" w:hAnsi="宋体" w:eastAsia="宋体" w:cs="宋体"/>
                <w:sz w:val="21"/>
                <w:szCs w:val="21"/>
              </w:rPr>
              <w:t>如涉及网站截图或照片等证明材料,需提供清晰图片,</w:t>
            </w:r>
            <w:r>
              <w:rPr>
                <w:rFonts w:hint="eastAsia" w:ascii="宋体" w:hAnsi="宋体" w:eastAsia="宋体" w:cs="宋体"/>
                <w:kern w:val="0"/>
                <w:sz w:val="21"/>
                <w:szCs w:val="21"/>
              </w:rPr>
              <w:t>原件备查</w:t>
            </w:r>
            <w:r>
              <w:rPr>
                <w:rFonts w:hint="eastAsia" w:ascii="宋体" w:hAnsi="宋体" w:eastAsia="宋体" w:cs="宋体"/>
                <w:sz w:val="21"/>
                <w:szCs w:val="21"/>
              </w:rPr>
              <w:t>。未按要求提供有效证明材料或提供不清晰导致评委无法识别的不计得分。</w:t>
            </w:r>
          </w:p>
        </w:tc>
      </w:tr>
      <w:tr w14:paraId="35150D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1AB2DD8D">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tcPr>
          <w:p w14:paraId="2AD28F47">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2835" w:type="dxa"/>
            <w:tcBorders>
              <w:top w:val="single" w:color="000000" w:sz="8" w:space="0"/>
              <w:left w:val="single" w:color="000000" w:sz="8" w:space="0"/>
              <w:bottom w:val="single" w:color="000000" w:sz="8" w:space="0"/>
              <w:right w:val="single" w:color="000000" w:sz="8" w:space="0"/>
            </w:tcBorders>
            <w:vAlign w:val="top"/>
          </w:tcPr>
          <w:p w14:paraId="3FFB50CC">
            <w:pPr>
              <w:keepNext w:val="0"/>
              <w:keepLines w:val="0"/>
              <w:pageBreakBefore w:val="0"/>
              <w:kinsoku/>
              <w:overflowPunct/>
              <w:topLinePunct w:val="0"/>
              <w:bidi w:val="0"/>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拟安排的项目团队成员（项目负责人除外）情况</w:t>
            </w:r>
          </w:p>
        </w:tc>
        <w:tc>
          <w:tcPr>
            <w:tcW w:w="681" w:type="dxa"/>
            <w:tcBorders>
              <w:top w:val="single" w:color="000000" w:sz="8" w:space="0"/>
              <w:left w:val="single" w:color="000000" w:sz="8" w:space="0"/>
              <w:bottom w:val="single" w:color="000000" w:sz="8" w:space="0"/>
              <w:right w:val="single" w:color="000000" w:sz="8" w:space="0"/>
            </w:tcBorders>
            <w:vAlign w:val="top"/>
          </w:tcPr>
          <w:p w14:paraId="5EA3BC25">
            <w:pPr>
              <w:keepNext w:val="0"/>
              <w:keepLines w:val="0"/>
              <w:pageBreakBefore w:val="0"/>
              <w:kinsoku/>
              <w:overflowPunct/>
              <w:topLinePunct w:val="0"/>
              <w:bidi w:val="0"/>
              <w:spacing w:line="36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rPr>
              <w:t>10</w:t>
            </w:r>
          </w:p>
        </w:tc>
        <w:tc>
          <w:tcPr>
            <w:tcW w:w="4763" w:type="dxa"/>
            <w:tcBorders>
              <w:top w:val="single" w:color="000000" w:sz="8" w:space="0"/>
              <w:left w:val="single" w:color="000000" w:sz="8" w:space="0"/>
              <w:bottom w:val="single" w:color="000000" w:sz="8" w:space="0"/>
              <w:right w:val="single" w:color="000000" w:sz="8" w:space="0"/>
            </w:tcBorders>
            <w:vAlign w:val="top"/>
          </w:tcPr>
          <w:p w14:paraId="0C55F82C">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（一）评分内容：</w:t>
            </w:r>
          </w:p>
          <w:p w14:paraId="664AE771">
            <w:pPr>
              <w:keepNext w:val="0"/>
              <w:keepLines w:val="0"/>
              <w:pageBreakBefore w:val="0"/>
              <w:kinsoku/>
              <w:overflowPunct/>
              <w:topLinePunct w:val="0"/>
              <w:bidi w:val="0"/>
              <w:spacing w:line="360" w:lineRule="auto"/>
              <w:jc w:val="left"/>
              <w:textAlignment w:val="auto"/>
              <w:rPr>
                <w:rFonts w:hint="eastAsia" w:ascii="宋体" w:hAnsi="宋体" w:eastAsia="宋体" w:cs="宋体"/>
                <w:sz w:val="21"/>
                <w:szCs w:val="21"/>
              </w:rPr>
            </w:pPr>
            <w:r>
              <w:rPr>
                <w:rFonts w:hint="eastAsia" w:ascii="宋体" w:hAnsi="宋体" w:eastAsia="宋体" w:cs="宋体"/>
                <w:szCs w:val="21"/>
              </w:rPr>
              <w:t>拟安排的项目团队成员（项目负责人除外）需为投标人</w:t>
            </w:r>
            <w:r>
              <w:rPr>
                <w:rFonts w:hint="eastAsia" w:ascii="宋体" w:hAnsi="宋体" w:eastAsia="宋体" w:cs="宋体"/>
                <w:color w:val="000000" w:themeColor="text1"/>
                <w:szCs w:val="21"/>
                <w14:textFill>
                  <w14:solidFill>
                    <w14:schemeClr w14:val="tx1"/>
                  </w14:solidFill>
                </w14:textFill>
              </w:rPr>
              <w:t>正式聘任</w:t>
            </w:r>
            <w:r>
              <w:rPr>
                <w:rFonts w:hint="eastAsia" w:ascii="宋体" w:hAnsi="宋体" w:eastAsia="宋体" w:cs="宋体"/>
                <w:szCs w:val="21"/>
              </w:rPr>
              <w:t>员工</w:t>
            </w:r>
            <w:r>
              <w:rPr>
                <w:rFonts w:hint="eastAsia" w:ascii="宋体" w:hAnsi="宋体" w:eastAsia="宋体" w:cs="宋体"/>
                <w:szCs w:val="21"/>
                <w:lang w:val="en-US" w:eastAsia="zh-CN"/>
              </w:rPr>
              <w:t>且不少于7人</w:t>
            </w:r>
            <w:r>
              <w:rPr>
                <w:rFonts w:hint="eastAsia" w:ascii="宋体" w:hAnsi="宋体" w:eastAsia="宋体" w:cs="宋体"/>
                <w:szCs w:val="21"/>
              </w:rPr>
              <w:t>，否则本项不得分。在此基础上，按以下标准评分：</w:t>
            </w:r>
          </w:p>
          <w:p w14:paraId="0F45C55B">
            <w:pPr>
              <w:pStyle w:val="17"/>
              <w:spacing w:line="360" w:lineRule="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eastAsia="zh-CN"/>
              </w:rPr>
              <w:t>（</w:t>
            </w:r>
            <w:r>
              <w:rPr>
                <w:rFonts w:hint="eastAsia" w:ascii="宋体" w:hAnsi="宋体" w:eastAsia="宋体" w:cs="宋体"/>
                <w:kern w:val="2"/>
                <w:sz w:val="21"/>
                <w:szCs w:val="21"/>
                <w:lang w:val="en-US" w:eastAsia="zh-CN"/>
              </w:rPr>
              <w:t>1</w:t>
            </w:r>
            <w:r>
              <w:rPr>
                <w:rFonts w:hint="eastAsia" w:ascii="宋体" w:hAnsi="宋体" w:eastAsia="宋体" w:cs="宋体"/>
                <w:kern w:val="2"/>
                <w:sz w:val="21"/>
                <w:szCs w:val="21"/>
                <w:lang w:eastAsia="zh-CN"/>
              </w:rPr>
              <w:t>）团队成员</w:t>
            </w:r>
            <w:r>
              <w:rPr>
                <w:rFonts w:hint="eastAsia" w:ascii="宋体" w:hAnsi="宋体" w:eastAsia="宋体" w:cs="宋体"/>
                <w:kern w:val="2"/>
                <w:sz w:val="21"/>
                <w:szCs w:val="21"/>
                <w:lang w:val="en-US" w:eastAsia="zh-CN"/>
              </w:rPr>
              <w:t>中具有</w:t>
            </w:r>
            <w:r>
              <w:rPr>
                <w:rFonts w:hint="eastAsia" w:ascii="宋体" w:hAnsi="宋体" w:eastAsia="宋体" w:cs="宋体"/>
                <w:kern w:val="2"/>
                <w:sz w:val="21"/>
                <w:szCs w:val="21"/>
              </w:rPr>
              <w:t>本科（含）以上学历或学士（含）以上学位的</w:t>
            </w:r>
            <w:r>
              <w:rPr>
                <w:rFonts w:hint="eastAsia" w:ascii="宋体" w:hAnsi="宋体" w:eastAsia="宋体" w:cs="宋体"/>
                <w:kern w:val="2"/>
                <w:sz w:val="21"/>
                <w:szCs w:val="21"/>
                <w:lang w:eastAsia="zh-CN"/>
              </w:rPr>
              <w:t>，</w:t>
            </w:r>
            <w:r>
              <w:rPr>
                <w:rFonts w:hint="eastAsia" w:ascii="宋体" w:hAnsi="宋体" w:eastAsia="宋体" w:cs="宋体"/>
                <w:kern w:val="2"/>
                <w:sz w:val="21"/>
                <w:szCs w:val="21"/>
                <w:lang w:val="en-US" w:eastAsia="zh-CN"/>
              </w:rPr>
              <w:t>每提供一人</w:t>
            </w:r>
            <w:r>
              <w:rPr>
                <w:rFonts w:hint="eastAsia" w:ascii="宋体" w:hAnsi="宋体" w:eastAsia="宋体" w:cs="宋体"/>
                <w:kern w:val="2"/>
                <w:sz w:val="21"/>
                <w:szCs w:val="21"/>
              </w:rPr>
              <w:t>得</w:t>
            </w:r>
            <w:r>
              <w:rPr>
                <w:rFonts w:hint="eastAsia" w:ascii="宋体" w:hAnsi="宋体" w:eastAsia="宋体" w:cs="宋体"/>
                <w:kern w:val="2"/>
                <w:sz w:val="21"/>
                <w:szCs w:val="21"/>
                <w:lang w:val="en-US" w:eastAsia="zh-CN"/>
              </w:rPr>
              <w:t>10</w:t>
            </w:r>
            <w:r>
              <w:rPr>
                <w:rFonts w:hint="eastAsia" w:ascii="宋体" w:hAnsi="宋体" w:eastAsia="宋体" w:cs="宋体"/>
                <w:kern w:val="2"/>
                <w:sz w:val="21"/>
                <w:szCs w:val="21"/>
              </w:rPr>
              <w:t>分</w:t>
            </w:r>
            <w:r>
              <w:rPr>
                <w:rFonts w:hint="eastAsia" w:ascii="宋体" w:hAnsi="宋体" w:eastAsia="宋体" w:cs="宋体"/>
                <w:kern w:val="2"/>
                <w:sz w:val="21"/>
                <w:szCs w:val="21"/>
                <w:lang w:eastAsia="zh-CN"/>
              </w:rPr>
              <w:t>；团队成员</w:t>
            </w:r>
            <w:r>
              <w:rPr>
                <w:rFonts w:hint="eastAsia" w:ascii="宋体" w:hAnsi="宋体" w:eastAsia="宋体" w:cs="宋体"/>
                <w:kern w:val="2"/>
                <w:sz w:val="21"/>
                <w:szCs w:val="21"/>
                <w:lang w:val="en-US" w:eastAsia="zh-CN"/>
              </w:rPr>
              <w:t>中具有</w:t>
            </w:r>
            <w:r>
              <w:rPr>
                <w:rFonts w:hint="eastAsia" w:ascii="宋体" w:hAnsi="宋体" w:eastAsia="宋体" w:cs="宋体"/>
                <w:kern w:val="2"/>
                <w:sz w:val="21"/>
                <w:szCs w:val="21"/>
                <w:lang w:eastAsia="zh-CN"/>
              </w:rPr>
              <w:t>研究生</w:t>
            </w:r>
            <w:r>
              <w:rPr>
                <w:rFonts w:hint="eastAsia" w:ascii="宋体" w:hAnsi="宋体" w:eastAsia="宋体" w:cs="宋体"/>
                <w:kern w:val="2"/>
                <w:sz w:val="21"/>
                <w:szCs w:val="21"/>
                <w:lang w:val="en-US" w:eastAsia="zh-CN"/>
              </w:rPr>
              <w:t>学历或硕士（含）</w:t>
            </w:r>
            <w:r>
              <w:rPr>
                <w:rFonts w:hint="eastAsia" w:ascii="宋体" w:hAnsi="宋体" w:eastAsia="宋体" w:cs="宋体"/>
                <w:kern w:val="2"/>
                <w:sz w:val="21"/>
                <w:szCs w:val="21"/>
              </w:rPr>
              <w:t>以上学位的</w:t>
            </w:r>
            <w:r>
              <w:rPr>
                <w:rFonts w:hint="eastAsia" w:ascii="宋体" w:hAnsi="宋体" w:eastAsia="宋体" w:cs="宋体"/>
                <w:kern w:val="2"/>
                <w:sz w:val="21"/>
                <w:szCs w:val="21"/>
                <w:lang w:eastAsia="zh-CN"/>
              </w:rPr>
              <w:t>，</w:t>
            </w:r>
            <w:r>
              <w:rPr>
                <w:rFonts w:hint="eastAsia" w:ascii="宋体" w:hAnsi="宋体" w:eastAsia="宋体" w:cs="宋体"/>
                <w:kern w:val="2"/>
                <w:sz w:val="21"/>
                <w:szCs w:val="21"/>
                <w:lang w:val="en-US" w:eastAsia="zh-CN"/>
              </w:rPr>
              <w:t>每提供一人</w:t>
            </w:r>
            <w:r>
              <w:rPr>
                <w:rFonts w:hint="eastAsia" w:ascii="宋体" w:hAnsi="宋体" w:eastAsia="宋体" w:cs="宋体"/>
                <w:kern w:val="2"/>
                <w:sz w:val="21"/>
                <w:szCs w:val="21"/>
              </w:rPr>
              <w:t>得</w:t>
            </w:r>
            <w:r>
              <w:rPr>
                <w:rFonts w:hint="eastAsia" w:ascii="宋体" w:hAnsi="宋体" w:eastAsia="宋体" w:cs="宋体"/>
                <w:kern w:val="2"/>
                <w:sz w:val="21"/>
                <w:szCs w:val="21"/>
                <w:lang w:val="en-US" w:eastAsia="zh-CN"/>
              </w:rPr>
              <w:t>20</w:t>
            </w:r>
            <w:r>
              <w:rPr>
                <w:rFonts w:hint="eastAsia" w:ascii="宋体" w:hAnsi="宋体" w:eastAsia="宋体" w:cs="宋体"/>
                <w:kern w:val="2"/>
                <w:sz w:val="21"/>
                <w:szCs w:val="21"/>
              </w:rPr>
              <w:t>分</w:t>
            </w:r>
            <w:r>
              <w:rPr>
                <w:rFonts w:hint="eastAsia" w:ascii="宋体" w:hAnsi="宋体" w:eastAsia="宋体" w:cs="宋体"/>
                <w:kern w:val="2"/>
                <w:sz w:val="21"/>
                <w:szCs w:val="21"/>
                <w:lang w:eastAsia="zh-CN"/>
              </w:rPr>
              <w:t>；</w:t>
            </w:r>
            <w:r>
              <w:rPr>
                <w:rFonts w:hint="eastAsia" w:ascii="宋体" w:hAnsi="宋体" w:eastAsia="宋体" w:cs="宋体"/>
                <w:kern w:val="2"/>
                <w:sz w:val="21"/>
                <w:szCs w:val="21"/>
                <w:lang w:val="en-US" w:eastAsia="zh-CN"/>
              </w:rPr>
              <w:t>此项最高得70分；</w:t>
            </w:r>
          </w:p>
          <w:p w14:paraId="7ACEB647">
            <w:pPr>
              <w:pStyle w:val="17"/>
              <w:spacing w:line="360" w:lineRule="auto"/>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eastAsia="zh-CN"/>
              </w:rPr>
              <w:t>（</w:t>
            </w:r>
            <w:r>
              <w:rPr>
                <w:rFonts w:hint="eastAsia" w:ascii="宋体" w:hAnsi="宋体" w:eastAsia="宋体" w:cs="宋体"/>
                <w:kern w:val="2"/>
                <w:sz w:val="21"/>
                <w:szCs w:val="21"/>
                <w:lang w:val="en-US" w:eastAsia="zh-CN"/>
              </w:rPr>
              <w:t>2</w:t>
            </w:r>
            <w:r>
              <w:rPr>
                <w:rFonts w:hint="eastAsia" w:ascii="宋体" w:hAnsi="宋体" w:eastAsia="宋体" w:cs="宋体"/>
                <w:kern w:val="2"/>
                <w:sz w:val="21"/>
                <w:szCs w:val="21"/>
                <w:lang w:eastAsia="zh-CN"/>
              </w:rPr>
              <w:t>）团队成员</w:t>
            </w:r>
            <w:r>
              <w:rPr>
                <w:rFonts w:hint="eastAsia" w:ascii="宋体" w:hAnsi="宋体" w:eastAsia="宋体" w:cs="宋体"/>
                <w:kern w:val="2"/>
                <w:sz w:val="21"/>
                <w:szCs w:val="21"/>
                <w:lang w:val="en-US" w:eastAsia="zh-CN"/>
              </w:rPr>
              <w:t>中学历或学位具有：</w:t>
            </w:r>
            <w:r>
              <w:rPr>
                <w:rFonts w:hint="eastAsia" w:ascii="宋体" w:hAnsi="宋体" w:eastAsia="宋体" w:cs="宋体"/>
                <w:kern w:val="2"/>
                <w:sz w:val="21"/>
                <w:szCs w:val="21"/>
                <w:lang w:eastAsia="zh-CN"/>
              </w:rPr>
              <w:t>管理类、设计类、</w:t>
            </w:r>
            <w:r>
              <w:rPr>
                <w:rFonts w:hint="eastAsia" w:ascii="宋体" w:hAnsi="宋体" w:eastAsia="宋体" w:cs="宋体"/>
                <w:kern w:val="2"/>
                <w:sz w:val="21"/>
                <w:szCs w:val="21"/>
                <w:lang w:val="en-US" w:eastAsia="zh-CN"/>
              </w:rPr>
              <w:t>景观类、新闻类、媒体传播类、商务营销类其中一个专业的，每提供一人得5分，最高得30分。</w:t>
            </w:r>
          </w:p>
          <w:p w14:paraId="580CE52A">
            <w:pPr>
              <w:keepNext w:val="0"/>
              <w:keepLines w:val="0"/>
              <w:pageBreakBefore w:val="0"/>
              <w:widowControl/>
              <w:kinsoku/>
              <w:overflowPunct/>
              <w:topLinePunct w:val="0"/>
              <w:bidi w:val="0"/>
              <w:snapToGrid/>
              <w:spacing w:line="360" w:lineRule="auto"/>
              <w:jc w:val="left"/>
              <w:textAlignment w:val="auto"/>
              <w:rPr>
                <w:rFonts w:hint="eastAsia" w:ascii="宋体" w:hAnsi="宋体" w:eastAsia="宋体" w:cs="宋体"/>
                <w:kern w:val="0"/>
                <w:sz w:val="21"/>
                <w:szCs w:val="21"/>
              </w:rPr>
            </w:pPr>
          </w:p>
          <w:p w14:paraId="10BDFFAF">
            <w:pPr>
              <w:keepNext w:val="0"/>
              <w:keepLines w:val="0"/>
              <w:pageBreakBefore w:val="0"/>
              <w:widowControl/>
              <w:kinsoku/>
              <w:overflowPunct/>
              <w:topLinePunct w:val="0"/>
              <w:bidi w:val="0"/>
              <w:snapToGrid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（二）评分依据：</w:t>
            </w:r>
          </w:p>
          <w:p w14:paraId="4ACC94D7">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1.提供项目</w:t>
            </w:r>
            <w:r>
              <w:rPr>
                <w:rFonts w:hint="eastAsia" w:ascii="宋体" w:hAnsi="宋体" w:cs="宋体"/>
                <w:sz w:val="21"/>
                <w:szCs w:val="21"/>
                <w:lang w:val="en-US" w:eastAsia="zh-CN"/>
              </w:rPr>
              <w:t>团队成员</w:t>
            </w:r>
            <w:r>
              <w:rPr>
                <w:rFonts w:hint="eastAsia" w:ascii="宋体" w:hAnsi="宋体" w:eastAsia="宋体" w:cs="宋体"/>
                <w:sz w:val="21"/>
                <w:szCs w:val="21"/>
              </w:rPr>
              <w:t>通过投标单位缴纳的载有社保部门或税务部门公章的近三个月内任意一个月的个人社保证明；如供应商为新成立单位且成立时间不足一个月的，可提供加盖公章的情况说明或者证明材料，无需提供相关人员社保，亦视为符合；如为退休返聘人员则提供劳动合同或返聘协议，无需提供相关人员社保，亦视为符合；</w:t>
            </w:r>
          </w:p>
          <w:p w14:paraId="55E68AB0">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考察学历的，要求</w:t>
            </w:r>
            <w:r>
              <w:rPr>
                <w:rFonts w:hint="eastAsia" w:ascii="宋体" w:hAnsi="宋体" w:eastAsia="宋体" w:cs="宋体"/>
                <w:sz w:val="21"/>
                <w:szCs w:val="21"/>
              </w:rPr>
              <w:t xml:space="preserve">提供毕业证书（或学位证书）以及学信网查询记录，对于学信网无法查询的，还需提供毕业院校或人社部门或教育部门等颁发机构或监管机构出具的证明，否则无效； </w:t>
            </w:r>
          </w:p>
          <w:p w14:paraId="3792AA8D">
            <w:pPr>
              <w:keepNext w:val="0"/>
              <w:keepLines w:val="0"/>
              <w:pageBreakBefore w:val="0"/>
              <w:kinsoku/>
              <w:overflowPunct/>
              <w:topLinePunct w:val="0"/>
              <w:bidi w:val="0"/>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kern w:val="0"/>
                <w:sz w:val="21"/>
                <w:szCs w:val="21"/>
              </w:rPr>
              <w:t>提供</w:t>
            </w:r>
            <w:r>
              <w:rPr>
                <w:rFonts w:hint="eastAsia" w:ascii="宋体" w:hAnsi="宋体" w:eastAsia="宋体" w:cs="宋体"/>
                <w:sz w:val="21"/>
                <w:szCs w:val="21"/>
              </w:rPr>
              <w:t>以上证明文件</w:t>
            </w:r>
            <w:r>
              <w:rPr>
                <w:rFonts w:hint="eastAsia" w:ascii="宋体" w:hAnsi="宋体" w:eastAsia="宋体" w:cs="宋体"/>
                <w:kern w:val="0"/>
                <w:sz w:val="21"/>
                <w:szCs w:val="21"/>
              </w:rPr>
              <w:t>扫描件，</w:t>
            </w:r>
            <w:r>
              <w:rPr>
                <w:rFonts w:hint="eastAsia" w:ascii="宋体" w:hAnsi="宋体" w:eastAsia="宋体" w:cs="宋体"/>
                <w:sz w:val="21"/>
                <w:szCs w:val="21"/>
              </w:rPr>
              <w:t>如涉及网站截图或照片等证明材料,需提供清晰图片,</w:t>
            </w:r>
            <w:r>
              <w:rPr>
                <w:rFonts w:hint="eastAsia" w:ascii="宋体" w:hAnsi="宋体" w:eastAsia="宋体" w:cs="宋体"/>
                <w:kern w:val="0"/>
                <w:sz w:val="21"/>
                <w:szCs w:val="21"/>
              </w:rPr>
              <w:t>原件备查</w:t>
            </w:r>
            <w:r>
              <w:rPr>
                <w:rFonts w:hint="eastAsia" w:ascii="宋体" w:hAnsi="宋体" w:eastAsia="宋体" w:cs="宋体"/>
                <w:sz w:val="21"/>
                <w:szCs w:val="21"/>
              </w:rPr>
              <w:t>。未按要求提供有效证明材料或提供不清晰导致评委无法识别的不计得分。</w:t>
            </w:r>
          </w:p>
        </w:tc>
      </w:tr>
      <w:tr w14:paraId="5D2417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2655E688">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tcPr>
          <w:p w14:paraId="443F04D2">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2835" w:type="dxa"/>
            <w:tcBorders>
              <w:top w:val="single" w:color="000000" w:sz="8" w:space="0"/>
              <w:left w:val="single" w:color="000000" w:sz="8" w:space="0"/>
              <w:bottom w:val="single" w:color="000000" w:sz="8" w:space="0"/>
              <w:right w:val="single" w:color="000000" w:sz="8" w:space="0"/>
            </w:tcBorders>
            <w:vAlign w:val="top"/>
          </w:tcPr>
          <w:p w14:paraId="5E4C2CFA">
            <w:pPr>
              <w:keepNext w:val="0"/>
              <w:keepLines w:val="0"/>
              <w:pageBreakBefore w:val="0"/>
              <w:kinsoku/>
              <w:overflowPunct/>
              <w:topLinePunct w:val="0"/>
              <w:bidi w:val="0"/>
              <w:spacing w:line="36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服务网点</w:t>
            </w:r>
          </w:p>
        </w:tc>
        <w:tc>
          <w:tcPr>
            <w:tcW w:w="681" w:type="dxa"/>
            <w:tcBorders>
              <w:top w:val="single" w:color="000000" w:sz="8" w:space="0"/>
              <w:left w:val="single" w:color="000000" w:sz="8" w:space="0"/>
              <w:bottom w:val="single" w:color="000000" w:sz="8" w:space="0"/>
              <w:right w:val="single" w:color="000000" w:sz="8" w:space="0"/>
            </w:tcBorders>
            <w:vAlign w:val="top"/>
          </w:tcPr>
          <w:p w14:paraId="14E61D4D">
            <w:pPr>
              <w:keepNext w:val="0"/>
              <w:keepLines w:val="0"/>
              <w:pageBreakBefore w:val="0"/>
              <w:kinsoku/>
              <w:overflowPunct/>
              <w:topLinePunct w:val="0"/>
              <w:bidi w:val="0"/>
              <w:spacing w:line="36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rPr>
              <w:t>2</w:t>
            </w:r>
          </w:p>
        </w:tc>
        <w:tc>
          <w:tcPr>
            <w:tcW w:w="4763" w:type="dxa"/>
            <w:tcBorders>
              <w:top w:val="single" w:color="000000" w:sz="8" w:space="0"/>
              <w:left w:val="single" w:color="000000" w:sz="8" w:space="0"/>
              <w:bottom w:val="single" w:color="000000" w:sz="8" w:space="0"/>
              <w:right w:val="single" w:color="000000" w:sz="8" w:space="0"/>
            </w:tcBorders>
            <w:vAlign w:val="top"/>
          </w:tcPr>
          <w:p w14:paraId="33DEEB33">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（一）评分内容：</w:t>
            </w:r>
          </w:p>
          <w:p w14:paraId="1B7FB9DB">
            <w:pPr>
              <w:keepNext w:val="0"/>
              <w:keepLines w:val="0"/>
              <w:pageBreakBefore w:val="0"/>
              <w:tabs>
                <w:tab w:val="left" w:pos="175"/>
              </w:tabs>
              <w:kinsoku/>
              <w:overflowPunct/>
              <w:topLinePunct w:val="0"/>
              <w:bidi w:val="0"/>
              <w:spacing w:line="360" w:lineRule="auto"/>
              <w:ind w:left="33"/>
              <w:jc w:val="left"/>
              <w:textAlignment w:val="auto"/>
              <w:rPr>
                <w:rFonts w:hint="eastAsia" w:ascii="宋体" w:hAnsi="宋体" w:eastAsia="宋体" w:cs="宋体"/>
                <w:bCs/>
                <w:kern w:val="0"/>
                <w:sz w:val="21"/>
                <w:szCs w:val="21"/>
              </w:rPr>
            </w:pPr>
            <w:r>
              <w:rPr>
                <w:rFonts w:hint="eastAsia" w:ascii="宋体" w:hAnsi="宋体" w:eastAsia="宋体" w:cs="宋体"/>
                <w:sz w:val="21"/>
                <w:szCs w:val="21"/>
              </w:rPr>
              <w:t>投标人承诺中标后提供本地服务网点的，得100分</w:t>
            </w:r>
            <w:r>
              <w:rPr>
                <w:rFonts w:hint="eastAsia" w:ascii="宋体" w:hAnsi="宋体" w:eastAsia="宋体" w:cs="宋体"/>
                <w:bCs/>
                <w:kern w:val="0"/>
                <w:sz w:val="21"/>
                <w:szCs w:val="21"/>
              </w:rPr>
              <w:t>。</w:t>
            </w:r>
          </w:p>
          <w:p w14:paraId="77E94AD0">
            <w:pPr>
              <w:keepNext w:val="0"/>
              <w:keepLines w:val="0"/>
              <w:pageBreakBefore w:val="0"/>
              <w:widowControl/>
              <w:kinsoku/>
              <w:overflowPunct/>
              <w:topLinePunct w:val="0"/>
              <w:bidi w:val="0"/>
              <w:snapToGrid w:val="0"/>
              <w:spacing w:line="36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（二）评分依据：</w:t>
            </w:r>
          </w:p>
          <w:p w14:paraId="7E2C115C">
            <w:pPr>
              <w:keepNext w:val="0"/>
              <w:keepLines w:val="0"/>
              <w:pageBreakBefore w:val="0"/>
              <w:kinsoku/>
              <w:overflowPunct/>
              <w:topLinePunct w:val="0"/>
              <w:autoSpaceDE w:val="0"/>
              <w:autoSpaceDN w:val="0"/>
              <w:bidi w:val="0"/>
              <w:adjustRightInd w:val="0"/>
              <w:spacing w:line="36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提供承诺函（格式自拟），未提供的不得分。</w:t>
            </w:r>
          </w:p>
        </w:tc>
      </w:tr>
      <w:tr w14:paraId="08C203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tcPr>
          <w:p w14:paraId="57F1E674">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4</w:t>
            </w:r>
          </w:p>
        </w:tc>
        <w:tc>
          <w:tcPr>
            <w:tcW w:w="4196" w:type="dxa"/>
            <w:gridSpan w:val="3"/>
            <w:tcBorders>
              <w:top w:val="single" w:color="000000" w:sz="8" w:space="0"/>
              <w:left w:val="single" w:color="000000" w:sz="8" w:space="0"/>
              <w:bottom w:val="single" w:color="000000" w:sz="8" w:space="0"/>
              <w:right w:val="single" w:color="000000" w:sz="8" w:space="0"/>
            </w:tcBorders>
          </w:tcPr>
          <w:p w14:paraId="0CEFAE6A">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其他</w:t>
            </w:r>
          </w:p>
        </w:tc>
        <w:tc>
          <w:tcPr>
            <w:tcW w:w="4763" w:type="dxa"/>
            <w:tcBorders>
              <w:top w:val="single" w:color="000000" w:sz="8" w:space="0"/>
              <w:left w:val="single" w:color="000000" w:sz="8" w:space="0"/>
              <w:bottom w:val="single" w:color="000000" w:sz="8" w:space="0"/>
              <w:right w:val="single" w:color="000000" w:sz="8" w:space="0"/>
            </w:tcBorders>
          </w:tcPr>
          <w:p w14:paraId="5A1CA31C">
            <w:pPr>
              <w:keepNext w:val="0"/>
              <w:keepLines w:val="0"/>
              <w:pageBreakBefore w:val="0"/>
              <w:kinsoku/>
              <w:overflowPunct/>
              <w:topLinePunct w:val="0"/>
              <w:bidi w:val="0"/>
              <w:spacing w:line="360" w:lineRule="auto"/>
              <w:jc w:val="center"/>
              <w:textAlignment w:val="auto"/>
              <w:rPr>
                <w:rFonts w:hint="eastAsia" w:ascii="宋体" w:hAnsi="宋体" w:eastAsia="宋体" w:cs="宋体"/>
                <w:b/>
                <w:bCs/>
                <w:color w:val="0000FF"/>
                <w:sz w:val="21"/>
                <w:szCs w:val="21"/>
              </w:rPr>
            </w:pPr>
            <w:r>
              <w:rPr>
                <w:rFonts w:hint="eastAsia" w:ascii="宋体" w:hAnsi="宋体" w:eastAsia="宋体" w:cs="宋体"/>
                <w:b/>
                <w:bCs/>
                <w:color w:val="0000FF"/>
                <w:sz w:val="21"/>
                <w:szCs w:val="21"/>
              </w:rPr>
              <w:t>5</w:t>
            </w:r>
          </w:p>
        </w:tc>
      </w:tr>
      <w:tr w14:paraId="740271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1C0742FF">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C231FF8">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序号</w:t>
            </w:r>
          </w:p>
        </w:tc>
        <w:tc>
          <w:tcPr>
            <w:tcW w:w="283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D11BE79">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3B3D648">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权重(%)</w:t>
            </w:r>
          </w:p>
        </w:tc>
        <w:tc>
          <w:tcPr>
            <w:tcW w:w="4763"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41C854D">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评分准则</w:t>
            </w:r>
          </w:p>
        </w:tc>
      </w:tr>
      <w:tr w14:paraId="03CAD9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0" w:type="auto"/>
            <w:vMerge w:val="continue"/>
            <w:tcBorders>
              <w:left w:val="single" w:color="000000" w:sz="8" w:space="0"/>
              <w:right w:val="single" w:color="000000" w:sz="8" w:space="0"/>
            </w:tcBorders>
            <w:vAlign w:val="center"/>
          </w:tcPr>
          <w:p w14:paraId="1AA3169B">
            <w:pPr>
              <w:keepNext w:val="0"/>
              <w:keepLines w:val="0"/>
              <w:pageBreakBefore w:val="0"/>
              <w:kinsoku/>
              <w:overflowPunct/>
              <w:topLinePunct w:val="0"/>
              <w:bidi w:val="0"/>
              <w:spacing w:line="360" w:lineRule="auto"/>
              <w:textAlignment w:val="auto"/>
              <w:rPr>
                <w:rFonts w:hint="eastAsia" w:ascii="宋体" w:hAnsi="宋体" w:eastAsia="宋体" w:cs="宋体"/>
                <w:b/>
                <w:bCs/>
                <w:color w:val="0000FF"/>
                <w:sz w:val="21"/>
                <w:szCs w:val="21"/>
              </w:rPr>
            </w:pPr>
          </w:p>
        </w:tc>
        <w:tc>
          <w:tcPr>
            <w:tcW w:w="680" w:type="dxa"/>
            <w:tcBorders>
              <w:top w:val="single" w:color="000000" w:sz="8" w:space="0"/>
              <w:left w:val="single" w:color="000000" w:sz="8" w:space="0"/>
              <w:bottom w:val="single" w:color="000000" w:sz="8" w:space="0"/>
              <w:right w:val="single" w:color="000000" w:sz="8" w:space="0"/>
            </w:tcBorders>
          </w:tcPr>
          <w:p w14:paraId="631B78A0">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2835" w:type="dxa"/>
            <w:tcBorders>
              <w:top w:val="single" w:color="000000" w:sz="8" w:space="0"/>
              <w:left w:val="single" w:color="000000" w:sz="8" w:space="0"/>
              <w:bottom w:val="single" w:color="000000" w:sz="8" w:space="0"/>
              <w:right w:val="single" w:color="000000" w:sz="8" w:space="0"/>
            </w:tcBorders>
          </w:tcPr>
          <w:p w14:paraId="1F4A160A">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诚信评审</w:t>
            </w:r>
          </w:p>
        </w:tc>
        <w:tc>
          <w:tcPr>
            <w:tcW w:w="681" w:type="dxa"/>
            <w:tcBorders>
              <w:top w:val="single" w:color="000000" w:sz="8" w:space="0"/>
              <w:left w:val="single" w:color="000000" w:sz="8" w:space="0"/>
              <w:bottom w:val="single" w:color="000000" w:sz="8" w:space="0"/>
              <w:right w:val="single" w:color="000000" w:sz="8" w:space="0"/>
            </w:tcBorders>
          </w:tcPr>
          <w:p w14:paraId="7473FBCF">
            <w:pPr>
              <w:keepNext w:val="0"/>
              <w:keepLines w:val="0"/>
              <w:pageBreakBefore w:val="0"/>
              <w:kinsoku/>
              <w:overflowPunct/>
              <w:topLinePunct w:val="0"/>
              <w:bidi w:val="0"/>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w:t>
            </w:r>
          </w:p>
        </w:tc>
        <w:tc>
          <w:tcPr>
            <w:tcW w:w="4763" w:type="dxa"/>
            <w:tcBorders>
              <w:top w:val="single" w:color="000000" w:sz="8" w:space="0"/>
              <w:left w:val="single" w:color="000000" w:sz="8" w:space="0"/>
              <w:bottom w:val="single" w:color="000000" w:sz="8" w:space="0"/>
              <w:right w:val="single" w:color="000000" w:sz="8" w:space="0"/>
            </w:tcBorders>
          </w:tcPr>
          <w:p w14:paraId="292B4E6A">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100分。</w:t>
            </w:r>
          </w:p>
          <w:p w14:paraId="703DCFF5">
            <w:pPr>
              <w:keepNext w:val="0"/>
              <w:keepLines w:val="0"/>
              <w:pageBreakBefore w:val="0"/>
              <w:kinsoku/>
              <w:overflowPunct/>
              <w:topLinePunct w:val="0"/>
              <w:bidi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（采购代理机构通过“信用中国”、“中国政府采购网”、“深圳市政府采购监管网”以及市、区财政部门认定的其他渠道查询供应商信用信息，投标人无需提供证明材料。）</w:t>
            </w:r>
          </w:p>
        </w:tc>
      </w:tr>
    </w:tbl>
    <w:p w14:paraId="08145147"/>
    <w:p w14:paraId="274C5D0F"/>
    <w:p w14:paraId="70366128">
      <w:pPr>
        <w:widowControl/>
        <w:jc w:val="left"/>
        <w:rPr>
          <w:rFonts w:asciiTheme="minorEastAsia" w:hAnsiTheme="minorEastAsia" w:eastAsiaTheme="minorEastAsia"/>
          <w:b/>
          <w:bCs/>
          <w:kern w:val="44"/>
          <w:sz w:val="28"/>
          <w:szCs w:val="44"/>
        </w:rPr>
      </w:pPr>
      <w:r>
        <w:rPr>
          <w:rFonts w:asciiTheme="minorEastAsia" w:hAnsiTheme="minorEastAsia" w:eastAsiaTheme="minorEastAsia"/>
        </w:rPr>
        <w:br w:type="page"/>
      </w:r>
    </w:p>
    <w:p w14:paraId="21627E9D">
      <w:pPr>
        <w:pStyle w:val="3"/>
        <w:spacing w:before="0" w:after="0"/>
        <w:rPr>
          <w:rFonts w:asciiTheme="minorEastAsia" w:hAnsiTheme="minorEastAsia" w:eastAsiaTheme="minorEastAsia"/>
        </w:rPr>
      </w:pPr>
      <w:r>
        <w:rPr>
          <w:rFonts w:hint="eastAsia" w:asciiTheme="minorEastAsia" w:hAnsiTheme="minorEastAsia" w:eastAsiaTheme="minorEastAsia"/>
        </w:rPr>
        <w:t>其它关键信息</w:t>
      </w:r>
    </w:p>
    <w:p w14:paraId="07F0A450">
      <w:pPr>
        <w:spacing w:line="360" w:lineRule="auto"/>
        <w:ind w:firstLine="413" w:firstLineChars="196"/>
        <w:rPr>
          <w:rFonts w:ascii="宋体" w:hAnsi="宋体"/>
          <w:szCs w:val="21"/>
        </w:rPr>
      </w:pPr>
      <w:r>
        <w:rPr>
          <w:rFonts w:hint="eastAsia" w:ascii="宋体" w:hAnsi="宋体"/>
          <w:b/>
          <w:szCs w:val="21"/>
        </w:rPr>
        <w:t>一</w:t>
      </w:r>
      <w:r>
        <w:rPr>
          <w:rFonts w:hint="eastAsia" w:asciiTheme="minorEastAsia" w:hAnsiTheme="minorEastAsia" w:eastAsiaTheme="minorEastAsia"/>
          <w:b/>
          <w:szCs w:val="21"/>
        </w:rPr>
        <w:t>、</w:t>
      </w:r>
      <w:r>
        <w:rPr>
          <w:rFonts w:hint="eastAsia"/>
          <w:b/>
          <w:szCs w:val="21"/>
        </w:rPr>
        <w:t>评标定标信息</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4"/>
        <w:gridCol w:w="4265"/>
      </w:tblGrid>
      <w:tr w14:paraId="18056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4" w:type="dxa"/>
          </w:tcPr>
          <w:p w14:paraId="5DD225EA">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是否评标定标分离</w:t>
            </w:r>
          </w:p>
        </w:tc>
        <w:tc>
          <w:tcPr>
            <w:tcW w:w="4265" w:type="dxa"/>
          </w:tcPr>
          <w:p w14:paraId="596DC8A3">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非评定分离</w:t>
            </w:r>
          </w:p>
        </w:tc>
      </w:tr>
      <w:tr w14:paraId="7F96C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4" w:type="dxa"/>
          </w:tcPr>
          <w:p w14:paraId="6AC194A7">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定标方法</w:t>
            </w:r>
          </w:p>
        </w:tc>
        <w:tc>
          <w:tcPr>
            <w:tcW w:w="4265" w:type="dxa"/>
          </w:tcPr>
          <w:p w14:paraId="1BAEBC75">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w:t>
            </w:r>
          </w:p>
        </w:tc>
      </w:tr>
      <w:tr w14:paraId="281C2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4" w:type="dxa"/>
          </w:tcPr>
          <w:p w14:paraId="09D844F1">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评标方法</w:t>
            </w:r>
          </w:p>
        </w:tc>
        <w:tc>
          <w:tcPr>
            <w:tcW w:w="4265" w:type="dxa"/>
          </w:tcPr>
          <w:p w14:paraId="646C9AF7">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综合评分法</w:t>
            </w:r>
          </w:p>
        </w:tc>
      </w:tr>
      <w:tr w14:paraId="05781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4" w:type="dxa"/>
          </w:tcPr>
          <w:p w14:paraId="69D9BD56">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中标供应商家数</w:t>
            </w:r>
          </w:p>
        </w:tc>
        <w:tc>
          <w:tcPr>
            <w:tcW w:w="4265" w:type="dxa"/>
          </w:tcPr>
          <w:p w14:paraId="721B24FA">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1</w:t>
            </w:r>
          </w:p>
        </w:tc>
      </w:tr>
      <w:tr w14:paraId="6E119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64" w:type="dxa"/>
          </w:tcPr>
          <w:p w14:paraId="23727681">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候选中标供应商家数</w:t>
            </w:r>
          </w:p>
        </w:tc>
        <w:tc>
          <w:tcPr>
            <w:tcW w:w="4265" w:type="dxa"/>
          </w:tcPr>
          <w:p w14:paraId="44589379">
            <w:pPr>
              <w:spacing w:after="60"/>
              <w:jc w:val="center"/>
              <w:rPr>
                <w:rFonts w:asciiTheme="minorEastAsia" w:hAnsiTheme="minorEastAsia" w:eastAsiaTheme="minorEastAsia"/>
                <w:szCs w:val="21"/>
              </w:rPr>
            </w:pPr>
            <w:r>
              <w:rPr>
                <w:rFonts w:hint="eastAsia" w:asciiTheme="minorEastAsia" w:hAnsiTheme="minorEastAsia" w:eastAsiaTheme="minorEastAsia"/>
                <w:szCs w:val="21"/>
              </w:rPr>
              <w:t>3</w:t>
            </w:r>
          </w:p>
        </w:tc>
      </w:tr>
    </w:tbl>
    <w:p w14:paraId="4B4D8770">
      <w:pPr>
        <w:spacing w:line="360" w:lineRule="auto"/>
        <w:ind w:firstLine="411" w:firstLineChars="196"/>
        <w:rPr>
          <w:rFonts w:ascii="宋体" w:hAnsi="宋体"/>
        </w:rPr>
      </w:pPr>
    </w:p>
    <w:p w14:paraId="41DCBC0A">
      <w:pPr>
        <w:spacing w:line="360" w:lineRule="auto"/>
        <w:ind w:firstLine="413" w:firstLineChars="196"/>
        <w:rPr>
          <w:rFonts w:ascii="宋体" w:hAnsi="宋体"/>
          <w:b/>
          <w:szCs w:val="21"/>
        </w:rPr>
      </w:pPr>
      <w:r>
        <w:rPr>
          <w:rFonts w:hint="eastAsia" w:ascii="宋体" w:hAnsi="宋体"/>
          <w:b/>
          <w:szCs w:val="21"/>
        </w:rPr>
        <w:t>二</w:t>
      </w:r>
      <w:r>
        <w:rPr>
          <w:rFonts w:hint="eastAsia" w:asciiTheme="minorEastAsia" w:hAnsiTheme="minorEastAsia" w:eastAsiaTheme="minorEastAsia"/>
          <w:b/>
          <w:szCs w:val="21"/>
        </w:rPr>
        <w:t>、</w:t>
      </w:r>
      <w:r>
        <w:rPr>
          <w:rFonts w:hint="eastAsia" w:ascii="宋体" w:hAnsi="宋体"/>
          <w:b/>
          <w:szCs w:val="21"/>
        </w:rPr>
        <w:t>报价明显偏低的合理性说明</w:t>
      </w:r>
    </w:p>
    <w:p w14:paraId="77300ABA">
      <w:pPr>
        <w:spacing w:line="360" w:lineRule="auto"/>
        <w:ind w:firstLine="420" w:firstLineChars="200"/>
        <w:rPr>
          <w:rFonts w:ascii="宋体" w:hAnsi="宋体"/>
          <w:szCs w:val="21"/>
        </w:rPr>
      </w:pPr>
      <w:r>
        <w:rPr>
          <w:rFonts w:hint="eastAsia" w:ascii="宋体" w:hAnsi="宋体"/>
          <w:szCs w:val="21"/>
        </w:rPr>
        <w:t>根据《中华人民共和国财政部令第</w:t>
      </w:r>
      <w:r>
        <w:rPr>
          <w:rFonts w:ascii="宋体" w:hAnsi="宋体"/>
          <w:szCs w:val="21"/>
        </w:rPr>
        <w:t>87</w:t>
      </w:r>
      <w:r>
        <w:rPr>
          <w:rFonts w:hint="eastAsia" w:ascii="宋体" w:hAnsi="宋体"/>
          <w:szCs w:val="21"/>
        </w:rPr>
        <w:t>号</w:t>
      </w:r>
      <w:r>
        <w:rPr>
          <w:rFonts w:ascii="宋体" w:hAnsi="宋体"/>
          <w:szCs w:val="21"/>
        </w:rPr>
        <w:t>-</w:t>
      </w:r>
      <w:r>
        <w:rPr>
          <w:rFonts w:hint="eastAsia" w:ascii="宋体" w:hAnsi="宋体"/>
          <w:szCs w:val="21"/>
        </w:rPr>
        <w:t>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F6DE23A">
      <w:pPr>
        <w:spacing w:line="360" w:lineRule="auto"/>
        <w:ind w:firstLine="420" w:firstLineChars="200"/>
        <w:rPr>
          <w:rFonts w:ascii="宋体" w:hAnsi="宋体"/>
          <w:szCs w:val="21"/>
        </w:rPr>
      </w:pPr>
    </w:p>
    <w:p w14:paraId="17746A18">
      <w:pPr>
        <w:spacing w:line="360" w:lineRule="auto"/>
        <w:ind w:firstLine="422" w:firstLineChars="200"/>
        <w:rPr>
          <w:rFonts w:asciiTheme="minorEastAsia" w:hAnsiTheme="minorEastAsia" w:eastAsiaTheme="minorEastAsia"/>
          <w:b/>
          <w:bCs/>
        </w:rPr>
      </w:pPr>
      <w:r>
        <w:rPr>
          <w:rFonts w:hint="eastAsia" w:asciiTheme="minorEastAsia" w:hAnsiTheme="minorEastAsia" w:eastAsiaTheme="minorEastAsia"/>
          <w:b/>
          <w:szCs w:val="21"/>
        </w:rPr>
        <w:t>三、</w:t>
      </w:r>
      <w:r>
        <w:rPr>
          <w:rFonts w:hint="eastAsia" w:asciiTheme="minorEastAsia" w:hAnsiTheme="minorEastAsia" w:eastAsiaTheme="minorEastAsia"/>
          <w:b/>
          <w:bCs/>
        </w:rPr>
        <w:t>关于享受政府采购扶持政策的主体及价格扣除比例</w:t>
      </w:r>
    </w:p>
    <w:p w14:paraId="71EB40AB">
      <w:pPr>
        <w:spacing w:after="60" w:line="360" w:lineRule="auto"/>
        <w:ind w:firstLine="426" w:firstLineChars="202"/>
        <w:rPr>
          <w:rFonts w:ascii="宋体" w:hAnsi="宋体"/>
          <w:b/>
          <w:snapToGrid w:val="0"/>
          <w:szCs w:val="21"/>
        </w:rPr>
      </w:pPr>
      <w:r>
        <w:rPr>
          <w:rFonts w:hint="eastAsia" w:ascii="宋体" w:hAnsi="宋体"/>
          <w:b/>
          <w:snapToGrid w:val="0"/>
          <w:szCs w:val="21"/>
          <w:highlight w:val="yellow"/>
        </w:rPr>
        <w:t>（一）本项目所属行业为</w:t>
      </w:r>
      <w:r>
        <w:rPr>
          <w:rFonts w:hint="eastAsia" w:ascii="宋体" w:hAnsi="宋体"/>
          <w:b/>
          <w:snapToGrid w:val="0"/>
          <w:szCs w:val="21"/>
          <w:highlight w:val="yellow"/>
          <w:u w:val="single"/>
        </w:rPr>
        <w:t xml:space="preserve"> 其他未列明行业 </w:t>
      </w:r>
      <w:r>
        <w:rPr>
          <w:rFonts w:hint="eastAsia" w:ascii="宋体" w:hAnsi="宋体"/>
          <w:b/>
          <w:snapToGrid w:val="0"/>
          <w:szCs w:val="21"/>
          <w:highlight w:val="yellow"/>
        </w:rPr>
        <w:t>，投标人应根据《工业和信息化部、国家统计局、国家发展和改革委员会、财政部关于印发中小企业划型标准规定的通知》(工信部联企业〔2011〕300号)规定的中小企业划型标准填写《中小企业声明函》。</w:t>
      </w:r>
    </w:p>
    <w:p w14:paraId="1788192E">
      <w:pPr>
        <w:spacing w:line="360" w:lineRule="auto"/>
        <w:ind w:firstLine="422" w:firstLineChars="200"/>
        <w:rPr>
          <w:rFonts w:asciiTheme="minorEastAsia" w:hAnsiTheme="minorEastAsia" w:eastAsiaTheme="minorEastAsia"/>
          <w:b/>
          <w:bCs/>
        </w:rPr>
      </w:pPr>
      <w:r>
        <w:rPr>
          <w:rFonts w:hint="eastAsia" w:asciiTheme="minorEastAsia" w:hAnsiTheme="minorEastAsia" w:eastAsiaTheme="minorEastAsia"/>
          <w:b/>
          <w:bCs/>
        </w:rPr>
        <w:t>（二）价格评审优惠</w:t>
      </w:r>
    </w:p>
    <w:p w14:paraId="767153C2">
      <w:pPr>
        <w:spacing w:line="360" w:lineRule="auto"/>
        <w:ind w:firstLine="371" w:firstLineChars="177"/>
        <w:rPr>
          <w:rFonts w:cs="仿宋"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hAnsi="宋体"/>
          <w:szCs w:val="24"/>
        </w:rPr>
        <w:t>预留份额专门面向中小企业采购的采购项目或采购包</w:t>
      </w:r>
      <w:r>
        <w:rPr>
          <w:rFonts w:hint="eastAsia" w:cs="仿宋" w:asciiTheme="minorEastAsia" w:hAnsiTheme="minorEastAsia" w:eastAsiaTheme="minorEastAsia"/>
          <w:szCs w:val="21"/>
        </w:rPr>
        <w:t>：不执行价格评审优惠的扶持政策。</w:t>
      </w:r>
    </w:p>
    <w:p w14:paraId="3E7DB91A">
      <w:pPr>
        <w:widowControl/>
        <w:spacing w:line="360" w:lineRule="auto"/>
        <w:ind w:firstLine="371" w:firstLineChars="177"/>
        <w:jc w:val="left"/>
        <w:rPr>
          <w:rFonts w:cs="仿宋" w:asciiTheme="minorEastAsia" w:hAnsiTheme="minorEastAsia" w:eastAsiaTheme="minorEastAsia"/>
          <w:szCs w:val="21"/>
        </w:rPr>
      </w:pPr>
      <w:r>
        <w:rPr>
          <w:rFonts w:hint="eastAsia" w:ascii="宋体" w:cs="MS Mincho" w:hAnsiTheme="minorEastAsia"/>
          <w:kern w:val="0"/>
          <w:szCs w:val="21"/>
          <w:lang w:eastAsia="zh-CN"/>
        </w:rPr>
        <w:t>☑</w:t>
      </w:r>
      <w:r>
        <w:rPr>
          <w:rFonts w:hint="eastAsia" w:ascii="Segoe UI Symbol" w:hAnsi="Segoe UI Symbol"/>
          <w:szCs w:val="24"/>
        </w:rPr>
        <w:t>未</w:t>
      </w:r>
      <w:r>
        <w:rPr>
          <w:rFonts w:hint="eastAsia" w:hAnsi="宋体"/>
          <w:szCs w:val="24"/>
        </w:rPr>
        <w:t>预留份额专门面向中小企业采购的采购项目或采购包</w:t>
      </w:r>
      <w:r>
        <w:rPr>
          <w:rFonts w:hint="eastAsia" w:asciiTheme="minorEastAsia" w:hAnsiTheme="minorEastAsia" w:eastAsiaTheme="minorEastAsia"/>
          <w:szCs w:val="21"/>
        </w:rPr>
        <w:t>：</w:t>
      </w:r>
    </w:p>
    <w:p w14:paraId="740A9B55">
      <w:pPr>
        <w:spacing w:line="360" w:lineRule="auto"/>
        <w:ind w:firstLine="424" w:firstLineChars="202"/>
        <w:rPr>
          <w:rFonts w:asciiTheme="minorEastAsia" w:hAnsiTheme="minorEastAsia" w:eastAsiaTheme="minorEastAsia"/>
        </w:rPr>
      </w:pPr>
      <w:r>
        <w:rPr>
          <w:rFonts w:hint="eastAsia" w:asciiTheme="minorEastAsia" w:hAnsiTheme="minorEastAsia" w:eastAsiaTheme="minorEastAsia"/>
        </w:rPr>
        <w:t>（1）根据</w:t>
      </w:r>
      <w:r>
        <w:rPr>
          <w:rFonts w:hint="eastAsia" w:ascii="宋体" w:hAnsi="宋体"/>
          <w:snapToGrid w:val="0"/>
          <w:szCs w:val="21"/>
        </w:rPr>
        <w:t>《财政部 工业和信息化部关于印发《政府采购促进中小企业发展管理办法》的通知》(财库〔2020〕46号)</w:t>
      </w:r>
      <w:r>
        <w:rPr>
          <w:rFonts w:hint="eastAsia" w:asciiTheme="minorEastAsia" w:hAnsiTheme="minorEastAsia" w:eastAsiaTheme="minorEastAsia"/>
        </w:rPr>
        <w:t>、《财政部 司法部关于政府采购支持监狱企业发展有关问题的通知》（财库〔2014〕68号）和《三部门联合发布关于促进残疾人就业政府采购政策的通知》（财库〔2017〕141号）的规定，对满足价格扣除条件且在投标文件中提交了符合政府采购扶持政策的证明材料的投标人，</w:t>
      </w:r>
      <w:r>
        <w:rPr>
          <w:rFonts w:hint="eastAsia" w:asciiTheme="minorEastAsia" w:hAnsiTheme="minorEastAsia" w:eastAsiaTheme="minorEastAsia"/>
          <w:b/>
        </w:rPr>
        <w:t>其投标报价扣除</w:t>
      </w:r>
      <w:r>
        <w:rPr>
          <w:rFonts w:hint="eastAsia" w:asciiTheme="minorEastAsia" w:hAnsiTheme="minorEastAsia" w:eastAsiaTheme="minorEastAsia"/>
          <w:b/>
          <w:u w:val="single"/>
        </w:rPr>
        <w:t xml:space="preserve"> 10 </w:t>
      </w:r>
      <w:r>
        <w:rPr>
          <w:rFonts w:hint="eastAsia" w:asciiTheme="minorEastAsia" w:hAnsiTheme="minorEastAsia" w:eastAsiaTheme="minorEastAsia"/>
          <w:b/>
        </w:rPr>
        <w:t>%（请在10%-20%范围内选择）后参与评审</w:t>
      </w:r>
      <w:r>
        <w:rPr>
          <w:rFonts w:hint="eastAsia" w:asciiTheme="minorEastAsia" w:hAnsiTheme="minorEastAsia" w:eastAsiaTheme="minorEastAsia"/>
        </w:rPr>
        <w:t>。</w:t>
      </w:r>
    </w:p>
    <w:p w14:paraId="1302D01D">
      <w:pPr>
        <w:spacing w:line="360" w:lineRule="auto"/>
        <w:ind w:firstLine="424" w:firstLineChars="202"/>
        <w:rPr>
          <w:rFonts w:asciiTheme="minorEastAsia" w:hAnsiTheme="minorEastAsia" w:eastAsiaTheme="minorEastAsia"/>
        </w:rPr>
      </w:pPr>
      <w:r>
        <w:rPr>
          <w:rFonts w:hint="eastAsia" w:asciiTheme="minorEastAsia" w:hAnsiTheme="minorEastAsia" w:eastAsiaTheme="minorEastAsia"/>
        </w:rPr>
        <w:t>（2）联合协议中约定，小型、微型企业的协议合同金额占到联合体协议合同总金额30%以上的，可给予</w:t>
      </w:r>
      <w:r>
        <w:rPr>
          <w:rFonts w:hint="eastAsia" w:asciiTheme="minorEastAsia" w:hAnsiTheme="minorEastAsia" w:eastAsiaTheme="minorEastAsia"/>
          <w:b/>
        </w:rPr>
        <w:t>联合体</w:t>
      </w:r>
      <w:r>
        <w:rPr>
          <w:rFonts w:hint="eastAsia" w:asciiTheme="minorEastAsia" w:hAnsiTheme="minorEastAsia" w:eastAsiaTheme="minorEastAsia"/>
          <w:b/>
          <w:u w:val="single"/>
        </w:rPr>
        <w:t xml:space="preserve"> / </w:t>
      </w:r>
      <w:r>
        <w:rPr>
          <w:rFonts w:hint="eastAsia" w:asciiTheme="minorEastAsia" w:hAnsiTheme="minorEastAsia" w:eastAsiaTheme="minorEastAsia"/>
          <w:b/>
        </w:rPr>
        <w:t>%</w:t>
      </w:r>
      <w:r>
        <w:rPr>
          <w:rFonts w:asciiTheme="minorEastAsia" w:hAnsiTheme="minorEastAsia" w:eastAsiaTheme="minorEastAsia"/>
          <w:b/>
        </w:rPr>
        <w:t xml:space="preserve"> </w:t>
      </w:r>
      <w:r>
        <w:rPr>
          <w:rFonts w:hint="eastAsia" w:asciiTheme="minorEastAsia" w:hAnsiTheme="minorEastAsia" w:eastAsiaTheme="minorEastAsia"/>
          <w:b/>
        </w:rPr>
        <w:t>（请在4</w:t>
      </w:r>
      <w:r>
        <w:rPr>
          <w:rFonts w:asciiTheme="minorEastAsia" w:hAnsiTheme="minorEastAsia" w:eastAsiaTheme="minorEastAsia"/>
          <w:b/>
        </w:rPr>
        <w:t>%-</w:t>
      </w:r>
      <w:r>
        <w:rPr>
          <w:rFonts w:hint="eastAsia" w:asciiTheme="minorEastAsia" w:hAnsiTheme="minorEastAsia" w:eastAsiaTheme="minorEastAsia"/>
          <w:b/>
        </w:rPr>
        <w:t>6</w:t>
      </w:r>
      <w:r>
        <w:rPr>
          <w:rFonts w:asciiTheme="minorEastAsia" w:hAnsiTheme="minorEastAsia" w:eastAsiaTheme="minorEastAsia"/>
          <w:b/>
        </w:rPr>
        <w:t>%</w:t>
      </w:r>
      <w:r>
        <w:rPr>
          <w:rFonts w:hint="eastAsia" w:asciiTheme="minorEastAsia" w:hAnsiTheme="minorEastAsia" w:eastAsiaTheme="minorEastAsia"/>
          <w:b/>
        </w:rPr>
        <w:t>范围内选择）</w:t>
      </w:r>
      <w:r>
        <w:rPr>
          <w:rFonts w:hint="eastAsia" w:asciiTheme="minorEastAsia" w:hAnsiTheme="minorEastAsia" w:eastAsiaTheme="minorEastAsia"/>
        </w:rPr>
        <w:t>的价格扣除</w:t>
      </w:r>
      <w:r>
        <w:rPr>
          <w:rFonts w:hint="eastAsia" w:ascii="宋体" w:hAnsi="宋体"/>
        </w:rPr>
        <w:t>，用扣除后的价格参与评审</w:t>
      </w:r>
      <w:r>
        <w:rPr>
          <w:rFonts w:hint="eastAsia" w:asciiTheme="minorEastAsia" w:hAnsiTheme="minorEastAsia" w:eastAsiaTheme="minorEastAsia"/>
        </w:rPr>
        <w:t>。如联合体各方均为小型、微型企业，联合体视同为小型、微型企业，享受</w:t>
      </w:r>
      <w:r>
        <w:rPr>
          <w:rFonts w:hint="eastAsia" w:asciiTheme="minorEastAsia" w:hAnsiTheme="minorEastAsia" w:eastAsiaTheme="minorEastAsia"/>
          <w:b/>
        </w:rPr>
        <w:t>第（1）项</w:t>
      </w:r>
      <w:r>
        <w:rPr>
          <w:rFonts w:hint="eastAsia" w:asciiTheme="minorEastAsia" w:hAnsiTheme="minorEastAsia" w:eastAsiaTheme="minorEastAsia"/>
        </w:rPr>
        <w:t>的评审优惠。</w:t>
      </w:r>
    </w:p>
    <w:p w14:paraId="13A6BF19">
      <w:pPr>
        <w:spacing w:after="60" w:line="360" w:lineRule="auto"/>
        <w:ind w:firstLine="424" w:firstLineChars="202"/>
        <w:rPr>
          <w:rFonts w:ascii="宋体" w:hAnsi="宋体"/>
        </w:rPr>
      </w:pPr>
      <w:r>
        <w:rPr>
          <w:rFonts w:hint="eastAsia" w:ascii="宋体" w:hAnsi="宋体"/>
        </w:rPr>
        <w:t>（3）分包意向协议约定，小型、微型企业的协议合同金额占到合同总金额30%以上的，可给予投标人</w:t>
      </w:r>
      <w:r>
        <w:rPr>
          <w:rFonts w:hint="eastAsia" w:ascii="宋体" w:hAnsi="宋体"/>
          <w:b/>
          <w:u w:val="single"/>
        </w:rPr>
        <w:t xml:space="preserve">  </w:t>
      </w:r>
      <w:r>
        <w:rPr>
          <w:rFonts w:hint="default" w:asciiTheme="minorEastAsia" w:hAnsiTheme="minorEastAsia" w:eastAsiaTheme="minorEastAsia"/>
          <w:b/>
          <w:u w:val="single"/>
          <w:lang w:val="en-US"/>
        </w:rPr>
        <w:t>/</w:t>
      </w:r>
      <w:r>
        <w:rPr>
          <w:rFonts w:hint="eastAsia" w:asciiTheme="minorEastAsia" w:hAnsiTheme="minorEastAsia" w:eastAsiaTheme="minorEastAsia"/>
          <w:b/>
          <w:u w:val="single"/>
        </w:rPr>
        <w:t xml:space="preserve">  </w:t>
      </w:r>
      <w:r>
        <w:rPr>
          <w:rFonts w:hint="eastAsia" w:asciiTheme="minorEastAsia" w:hAnsiTheme="minorEastAsia" w:eastAsiaTheme="minorEastAsia"/>
          <w:b/>
        </w:rPr>
        <w:t>%</w:t>
      </w:r>
      <w:r>
        <w:rPr>
          <w:rFonts w:asciiTheme="minorEastAsia" w:hAnsiTheme="minorEastAsia" w:eastAsiaTheme="minorEastAsia"/>
          <w:b/>
        </w:rPr>
        <w:t xml:space="preserve"> </w:t>
      </w:r>
      <w:r>
        <w:rPr>
          <w:rFonts w:hint="eastAsia" w:asciiTheme="minorEastAsia" w:hAnsiTheme="minorEastAsia" w:eastAsiaTheme="minorEastAsia"/>
          <w:b/>
        </w:rPr>
        <w:t>（请在4</w:t>
      </w:r>
      <w:r>
        <w:rPr>
          <w:rFonts w:asciiTheme="minorEastAsia" w:hAnsiTheme="minorEastAsia" w:eastAsiaTheme="minorEastAsia"/>
          <w:b/>
        </w:rPr>
        <w:t>%-</w:t>
      </w:r>
      <w:r>
        <w:rPr>
          <w:rFonts w:hint="eastAsia" w:asciiTheme="minorEastAsia" w:hAnsiTheme="minorEastAsia" w:eastAsiaTheme="minorEastAsia"/>
          <w:b/>
        </w:rPr>
        <w:t>6</w:t>
      </w:r>
      <w:r>
        <w:rPr>
          <w:rFonts w:asciiTheme="minorEastAsia" w:hAnsiTheme="minorEastAsia" w:eastAsiaTheme="minorEastAsia"/>
          <w:b/>
        </w:rPr>
        <w:t>%</w:t>
      </w:r>
      <w:r>
        <w:rPr>
          <w:rFonts w:hint="eastAsia" w:asciiTheme="minorEastAsia" w:hAnsiTheme="minorEastAsia" w:eastAsiaTheme="minorEastAsia"/>
          <w:b/>
        </w:rPr>
        <w:t>范围内选择）</w:t>
      </w:r>
      <w:r>
        <w:rPr>
          <w:rFonts w:hint="eastAsia" w:asciiTheme="minorEastAsia" w:hAnsiTheme="minorEastAsia" w:eastAsiaTheme="minorEastAsia"/>
        </w:rPr>
        <w:t>的价格扣除</w:t>
      </w:r>
      <w:r>
        <w:rPr>
          <w:rFonts w:hint="eastAsia" w:ascii="宋体" w:hAnsi="宋体"/>
        </w:rPr>
        <w:t>，用扣除后的价格参与评审。</w:t>
      </w:r>
    </w:p>
    <w:p w14:paraId="293F8042">
      <w:pPr>
        <w:spacing w:after="60" w:line="360" w:lineRule="auto"/>
        <w:ind w:firstLine="424" w:firstLineChars="202"/>
        <w:rPr>
          <w:rFonts w:ascii="宋体" w:hAnsi="宋体"/>
        </w:rPr>
      </w:pPr>
      <w:r>
        <w:rPr>
          <w:rFonts w:hint="eastAsia" w:ascii="宋体" w:hAnsi="宋体"/>
        </w:rPr>
        <w:t>（4）</w:t>
      </w:r>
      <w:r>
        <w:rPr>
          <w:rFonts w:hint="eastAsia" w:asciiTheme="minorEastAsia" w:hAnsiTheme="minorEastAsia" w:eastAsiaTheme="minorEastAsia"/>
        </w:rPr>
        <w:t>如供应商为</w:t>
      </w:r>
      <w:r>
        <w:rPr>
          <w:rFonts w:hint="eastAsia" w:hAnsi="宋体"/>
        </w:rPr>
        <w:t>监狱企业</w:t>
      </w:r>
      <w:r>
        <w:rPr>
          <w:rFonts w:hint="eastAsia" w:hAnsi="宋体"/>
          <w:szCs w:val="21"/>
        </w:rPr>
        <w:t>或残疾人福利性单位，</w:t>
      </w:r>
      <w:r>
        <w:rPr>
          <w:rFonts w:hint="eastAsia" w:hAnsi="宋体"/>
        </w:rPr>
        <w:t>视同</w:t>
      </w:r>
      <w:r>
        <w:rPr>
          <w:rFonts w:hint="eastAsia" w:asciiTheme="minorEastAsia" w:hAnsiTheme="minorEastAsia" w:eastAsiaTheme="minorEastAsia"/>
        </w:rPr>
        <w:t>小型、微型企业，</w:t>
      </w:r>
      <w:r>
        <w:rPr>
          <w:rFonts w:hint="eastAsia" w:hAnsi="宋体"/>
        </w:rPr>
        <w:t>享受以上预留份额、评审中价格扣除等政府采购促进中小企业发展的政府采购政策；</w:t>
      </w:r>
      <w:r>
        <w:rPr>
          <w:rFonts w:hint="eastAsia" w:asciiTheme="minorEastAsia" w:hAnsiTheme="minorEastAsia" w:eastAsiaTheme="minorEastAsia"/>
        </w:rPr>
        <w:t>对于同时属于小型、微型企业、监狱企业或残疾人福利性单位的供应商，不重复享受政策。</w:t>
      </w:r>
    </w:p>
    <w:p w14:paraId="01EEB1D3">
      <w:pPr>
        <w:spacing w:after="60" w:line="360" w:lineRule="auto"/>
        <w:ind w:firstLine="424" w:firstLineChars="202"/>
        <w:rPr>
          <w:rFonts w:ascii="宋体" w:hAnsi="宋体"/>
        </w:rPr>
      </w:pPr>
      <w:r>
        <w:rPr>
          <w:rFonts w:hint="eastAsia" w:ascii="宋体" w:hAnsi="宋体"/>
        </w:rPr>
        <w:t>（5）优惠主体资格的认定资料为《中小企业声明函》、《残疾人福利性单位声明函》以及《监狱企业声明函》等承诺性质的资料（</w:t>
      </w:r>
      <w:r>
        <w:rPr>
          <w:rFonts w:hint="eastAsia" w:ascii="宋体" w:hAnsi="宋体" w:cs="宋体"/>
          <w:szCs w:val="21"/>
        </w:rPr>
        <w:t>格式详见招标文件第三章</w:t>
      </w:r>
      <w:r>
        <w:rPr>
          <w:rFonts w:hint="eastAsia" w:ascii="宋体" w:hAnsi="宋体"/>
        </w:rPr>
        <w:t>）；监狱企业或者代理提供监狱企业货物的供应商如需享受优惠政策，除上述资料外，还须提供省级以上监狱管理局、戒毒管理局出具的监狱企业证明文件。</w:t>
      </w:r>
    </w:p>
    <w:p w14:paraId="4297A750">
      <w:pPr>
        <w:spacing w:line="360" w:lineRule="auto"/>
        <w:ind w:firstLine="422" w:firstLineChars="200"/>
        <w:rPr>
          <w:rFonts w:asciiTheme="minorEastAsia" w:hAnsiTheme="minorEastAsia" w:eastAsiaTheme="minorEastAsia"/>
          <w:b/>
          <w:szCs w:val="21"/>
        </w:rPr>
      </w:pPr>
    </w:p>
    <w:p w14:paraId="36EC4E93">
      <w:pPr>
        <w:spacing w:line="360" w:lineRule="auto"/>
        <w:ind w:firstLine="422" w:firstLineChars="200"/>
        <w:rPr>
          <w:rFonts w:ascii="宋体" w:hAnsi="宋体"/>
          <w:b/>
          <w:szCs w:val="21"/>
        </w:rPr>
      </w:pPr>
      <w:r>
        <w:rPr>
          <w:rFonts w:hint="eastAsia" w:asciiTheme="minorEastAsia" w:hAnsiTheme="minorEastAsia" w:eastAsiaTheme="minorEastAsia"/>
          <w:b/>
          <w:szCs w:val="21"/>
        </w:rPr>
        <w:t>四、</w:t>
      </w:r>
      <w:r>
        <w:rPr>
          <w:rFonts w:hint="eastAsia" w:ascii="Times New Roman" w:hAnsi="Times New Roman"/>
          <w:b/>
          <w:szCs w:val="24"/>
        </w:rPr>
        <w:t>绿色采购</w:t>
      </w:r>
    </w:p>
    <w:p w14:paraId="2E73E8A5">
      <w:pPr>
        <w:spacing w:line="360" w:lineRule="auto"/>
        <w:ind w:firstLine="424" w:firstLineChars="202"/>
        <w:jc w:val="left"/>
        <w:rPr>
          <w:rFonts w:asciiTheme="minorEastAsia" w:hAnsiTheme="minorEastAsia" w:eastAsiaTheme="minorEastAsia"/>
          <w:szCs w:val="21"/>
        </w:rPr>
      </w:pPr>
      <w:r>
        <w:rPr>
          <w:rFonts w:hint="eastAsia" w:asciiTheme="minorEastAsia" w:hAnsiTheme="minorEastAsia" w:eastAsiaTheme="minorEastAsia"/>
          <w:szCs w:val="24"/>
        </w:rPr>
        <w:t>（1）投标产品属于《关于调整优化节能产品环境标志产品政府采购执行机制的通知》（财库〔2019〕9号）、《关于印发环境标志产品政府采购品目清单的通知》（财库〔2019〕18号）和《关于印发节能产品</w:t>
      </w:r>
      <w:r>
        <w:rPr>
          <w:rFonts w:hint="eastAsia" w:asciiTheme="minorEastAsia" w:hAnsiTheme="minorEastAsia" w:eastAsiaTheme="minorEastAsia"/>
          <w:szCs w:val="21"/>
        </w:rPr>
        <w:t>政府采购品目清单的通知》（财库〔2019〕19号）品目清单范围内的，</w:t>
      </w:r>
      <w:r>
        <w:rPr>
          <w:rFonts w:hint="eastAsia" w:asciiTheme="minorEastAsia" w:hAnsiTheme="minorEastAsia" w:eastAsiaTheme="minorEastAsia"/>
          <w:szCs w:val="24"/>
        </w:rPr>
        <w:t>应依据国家确定的认证机构出具的、处于有效期之内的节能产品、环境标志产品认证证书，对获得证书的产品实施政府优先采购或强制采购。</w:t>
      </w:r>
      <w:r>
        <w:rPr>
          <w:rFonts w:hint="eastAsia" w:asciiTheme="minorEastAsia" w:hAnsiTheme="minorEastAsia" w:eastAsiaTheme="minorEastAsia"/>
          <w:b/>
          <w:szCs w:val="24"/>
        </w:rPr>
        <w:t>对符合条件的获证产品</w:t>
      </w:r>
      <w:r>
        <w:rPr>
          <w:rFonts w:hint="eastAsia" w:asciiTheme="minorEastAsia" w:hAnsiTheme="minorEastAsia" w:eastAsiaTheme="minorEastAsia"/>
          <w:b/>
          <w:szCs w:val="21"/>
        </w:rPr>
        <w:t>，根据该投标产品报价给予</w:t>
      </w:r>
      <w:r>
        <w:rPr>
          <w:rFonts w:hint="eastAsia" w:asciiTheme="minorEastAsia" w:hAnsiTheme="minorEastAsia" w:eastAsiaTheme="minorEastAsia"/>
          <w:b/>
          <w:szCs w:val="21"/>
          <w:u w:val="single"/>
        </w:rPr>
        <w:t xml:space="preserve"> 1 </w:t>
      </w:r>
      <w:r>
        <w:rPr>
          <w:rFonts w:hint="eastAsia" w:asciiTheme="minorEastAsia" w:hAnsiTheme="minorEastAsia" w:eastAsiaTheme="minorEastAsia"/>
          <w:b/>
          <w:szCs w:val="21"/>
        </w:rPr>
        <w:t>%的价格扣除，用扣除后的价格参与评审</w:t>
      </w:r>
      <w:r>
        <w:rPr>
          <w:rFonts w:hint="eastAsia" w:asciiTheme="minorEastAsia" w:hAnsiTheme="minorEastAsia" w:eastAsiaTheme="minorEastAsia"/>
          <w:szCs w:val="21"/>
        </w:rPr>
        <w:t>（需按投标文件格式部分“列入政府优先采购清单的投标产品一览表”的要求提供证明材料，否则不予价格扣除）。</w:t>
      </w:r>
    </w:p>
    <w:p w14:paraId="1827B9A9">
      <w:pPr>
        <w:autoSpaceDE w:val="0"/>
        <w:autoSpaceDN w:val="0"/>
        <w:adjustRightInd w:val="0"/>
        <w:spacing w:line="360" w:lineRule="auto"/>
        <w:ind w:firstLine="369" w:firstLineChars="176"/>
        <w:jc w:val="left"/>
        <w:rPr>
          <w:rFonts w:ascii="宋体" w:hAnsi="宋体" w:eastAsia="黑体"/>
          <w:b/>
          <w:bCs/>
          <w:kern w:val="44"/>
          <w:sz w:val="28"/>
          <w:szCs w:val="44"/>
        </w:rPr>
      </w:pPr>
      <w:r>
        <w:rPr>
          <w:rFonts w:hint="eastAsia" w:asciiTheme="minorEastAsia" w:hAnsiTheme="minorEastAsia" w:eastAsiaTheme="minorEastAsia"/>
          <w:szCs w:val="21"/>
        </w:rPr>
        <w:t>（2）按照《深圳市财政局关于大力推广政府绿色采购有关事项的通知（深财购〔2023〕49号）》相关要求，严格执行绿色采购需求标准。采购单位严格执行《商品包装政府采购需求标准（试行）》、《快递包装政府采购需求标准（试行）》（财办库〔2020〕123号）、《绿色建筑和绿色建材政府采购需求标准》（财办库〔2022〕35号）、《绿色数据中心政府采购需求标准（试行）》（财办库〔2023〕7号）等需求标准，依据相关需求标准确定采购需求，在采购文件和采购合同中载明具体需求、履约验收条款和违约责任，促进绿色包装、绿色运输、绿色建筑、绿色建材和绿色数据中心在政府采购领域的应用。加大新能源汽车采购力度。积极推广合同能源管理。鼓励公共机构推广应用合同能源管理，借助市场化手段，通过实施应用节能新技术、新产品，不断提高能源利用效率，为公共机构节能减排提供有力支持和保障。</w:t>
      </w:r>
    </w:p>
    <w:p w14:paraId="07C25795">
      <w:pPr>
        <w:spacing w:line="360" w:lineRule="auto"/>
        <w:rPr>
          <w:rFonts w:ascii="Times New Roman" w:hAnsi="Times New Roman"/>
          <w:b/>
          <w:bCs/>
          <w:sz w:val="24"/>
          <w:szCs w:val="24"/>
        </w:rPr>
      </w:pPr>
    </w:p>
    <w:p w14:paraId="7F1D572A">
      <w:pPr>
        <w:spacing w:line="360" w:lineRule="auto"/>
        <w:ind w:firstLine="422" w:firstLineChars="200"/>
        <w:rPr>
          <w:rFonts w:ascii="宋体" w:hAnsi="宋体"/>
          <w:b/>
          <w:szCs w:val="21"/>
        </w:rPr>
      </w:pPr>
      <w:r>
        <w:rPr>
          <w:rFonts w:hint="eastAsia" w:asciiTheme="minorEastAsia" w:hAnsiTheme="minorEastAsia" w:eastAsiaTheme="minorEastAsia"/>
          <w:b/>
          <w:szCs w:val="21"/>
        </w:rPr>
        <w:t>五、</w:t>
      </w:r>
      <w:r>
        <w:rPr>
          <w:rFonts w:hint="eastAsia" w:ascii="Times New Roman" w:hAnsi="Times New Roman"/>
          <w:b/>
          <w:szCs w:val="24"/>
        </w:rPr>
        <w:t>其他说明</w:t>
      </w:r>
    </w:p>
    <w:p w14:paraId="59FDB202">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4"/>
        </w:rPr>
        <w:t>为缓解中小企业融资难题，深圳市推出政府采购订单融资改革举措。订单融资具体流程及试点金融机构订单融资服务承诺可参阅深圳市政府采购监管网（zfcg.sz.gov.cn）政府采购订单融资栏目。</w:t>
      </w:r>
    </w:p>
    <w:p w14:paraId="28393DF5">
      <w:pPr>
        <w:widowControl/>
        <w:jc w:val="left"/>
        <w:rPr>
          <w:rFonts w:ascii="宋体" w:hAnsi="宋体" w:eastAsia="黑体"/>
          <w:b/>
          <w:bCs/>
          <w:kern w:val="44"/>
          <w:sz w:val="28"/>
          <w:szCs w:val="44"/>
        </w:rPr>
      </w:pPr>
      <w:r>
        <w:rPr>
          <w:rFonts w:ascii="宋体" w:hAnsi="宋体" w:eastAsia="黑体"/>
          <w:b/>
          <w:bCs/>
          <w:kern w:val="44"/>
          <w:sz w:val="28"/>
          <w:szCs w:val="44"/>
        </w:rPr>
        <w:br w:type="page"/>
      </w:r>
    </w:p>
    <w:p w14:paraId="7D0AE8BA">
      <w:pPr>
        <w:keepNext/>
        <w:keepLines/>
        <w:spacing w:before="340" w:after="330" w:line="360" w:lineRule="auto"/>
        <w:jc w:val="center"/>
        <w:outlineLvl w:val="0"/>
        <w:rPr>
          <w:rFonts w:ascii="宋体" w:hAnsi="宋体" w:eastAsia="黑体"/>
          <w:b/>
          <w:bCs/>
          <w:kern w:val="44"/>
          <w:sz w:val="28"/>
          <w:szCs w:val="44"/>
        </w:rPr>
      </w:pPr>
      <w:r>
        <w:rPr>
          <w:rFonts w:hint="eastAsia" w:ascii="宋体" w:hAnsi="宋体" w:eastAsia="黑体"/>
          <w:b/>
          <w:bCs/>
          <w:kern w:val="44"/>
          <w:sz w:val="28"/>
          <w:szCs w:val="44"/>
        </w:rPr>
        <w:t>目   录</w:t>
      </w:r>
    </w:p>
    <w:p w14:paraId="17674574">
      <w:pPr>
        <w:rPr>
          <w:rFonts w:ascii="Times New Roman" w:hAnsi="Times New Roman"/>
          <w:b/>
          <w:sz w:val="24"/>
          <w:szCs w:val="24"/>
        </w:rPr>
      </w:pPr>
      <w:r>
        <w:rPr>
          <w:rFonts w:hint="eastAsia" w:ascii="Times New Roman" w:hAnsi="Times New Roman"/>
          <w:b/>
          <w:sz w:val="24"/>
          <w:szCs w:val="24"/>
        </w:rPr>
        <w:t>第一册  专用条款</w:t>
      </w:r>
    </w:p>
    <w:p w14:paraId="76176E7B">
      <w:pPr>
        <w:ind w:left="630" w:leftChars="300" w:firstLine="411" w:firstLineChars="196"/>
        <w:rPr>
          <w:rFonts w:ascii="宋体" w:hAnsi="宋体"/>
          <w:szCs w:val="21"/>
        </w:rPr>
      </w:pPr>
      <w:r>
        <w:rPr>
          <w:rFonts w:hint="eastAsia" w:ascii="宋体" w:hAnsi="宋体"/>
          <w:szCs w:val="21"/>
        </w:rPr>
        <w:t>关键信息</w:t>
      </w:r>
    </w:p>
    <w:p w14:paraId="750DB046">
      <w:pPr>
        <w:ind w:left="630" w:leftChars="300" w:firstLine="411" w:firstLineChars="196"/>
        <w:rPr>
          <w:rFonts w:ascii="宋体" w:hAnsi="宋体"/>
          <w:szCs w:val="21"/>
        </w:rPr>
      </w:pPr>
      <w:r>
        <w:rPr>
          <w:rFonts w:hint="eastAsia" w:ascii="宋体" w:hAnsi="宋体"/>
          <w:szCs w:val="21"/>
        </w:rPr>
        <w:t>第一章  招标公告</w:t>
      </w:r>
    </w:p>
    <w:p w14:paraId="389F3AF6">
      <w:pPr>
        <w:ind w:left="630" w:leftChars="300" w:firstLine="411" w:firstLineChars="196"/>
        <w:rPr>
          <w:rFonts w:ascii="宋体" w:hAnsi="宋体"/>
          <w:szCs w:val="21"/>
        </w:rPr>
      </w:pPr>
      <w:r>
        <w:rPr>
          <w:rFonts w:hint="eastAsia" w:ascii="宋体" w:hAnsi="宋体"/>
          <w:szCs w:val="21"/>
        </w:rPr>
        <w:t>第二章  招标项目需求</w:t>
      </w:r>
    </w:p>
    <w:p w14:paraId="79FB964B">
      <w:pPr>
        <w:ind w:left="630" w:leftChars="300" w:firstLine="411" w:firstLineChars="196"/>
        <w:rPr>
          <w:rFonts w:ascii="宋体" w:hAnsi="宋体"/>
          <w:szCs w:val="21"/>
        </w:rPr>
      </w:pPr>
      <w:r>
        <w:rPr>
          <w:rFonts w:hint="eastAsia" w:ascii="宋体" w:hAnsi="宋体"/>
          <w:szCs w:val="21"/>
        </w:rPr>
        <w:t>第三章  投标文件格式、附件</w:t>
      </w:r>
    </w:p>
    <w:p w14:paraId="7F0C6F59">
      <w:pPr>
        <w:ind w:left="630" w:leftChars="300" w:firstLine="411" w:firstLineChars="196"/>
        <w:rPr>
          <w:rFonts w:ascii="宋体" w:hAnsi="宋体"/>
          <w:szCs w:val="21"/>
        </w:rPr>
      </w:pPr>
      <w:r>
        <w:rPr>
          <w:rFonts w:hint="eastAsia" w:ascii="宋体" w:hAnsi="宋体"/>
          <w:szCs w:val="21"/>
        </w:rPr>
        <w:t>第四章  合同及履约情况反馈格式</w:t>
      </w:r>
    </w:p>
    <w:p w14:paraId="08AAE448">
      <w:pPr>
        <w:ind w:left="630" w:leftChars="300" w:firstLine="411" w:firstLineChars="196"/>
        <w:rPr>
          <w:rFonts w:ascii="宋体" w:hAnsi="宋体"/>
          <w:szCs w:val="21"/>
        </w:rPr>
      </w:pPr>
      <w:r>
        <w:rPr>
          <w:rFonts w:hint="eastAsia" w:ascii="宋体" w:hAnsi="宋体"/>
          <w:szCs w:val="21"/>
        </w:rPr>
        <w:t>第五章  附件</w:t>
      </w:r>
    </w:p>
    <w:p w14:paraId="1C4A7D6B">
      <w:pPr>
        <w:ind w:left="630" w:leftChars="300" w:firstLine="411" w:firstLineChars="196"/>
        <w:rPr>
          <w:rFonts w:ascii="宋体" w:hAnsi="宋体"/>
          <w:szCs w:val="21"/>
        </w:rPr>
      </w:pPr>
    </w:p>
    <w:p w14:paraId="6E266796">
      <w:pPr>
        <w:rPr>
          <w:rFonts w:ascii="Times New Roman" w:hAnsi="Times New Roman"/>
          <w:b/>
          <w:sz w:val="24"/>
          <w:szCs w:val="24"/>
        </w:rPr>
      </w:pPr>
    </w:p>
    <w:p w14:paraId="1C5F2A21">
      <w:pPr>
        <w:rPr>
          <w:rFonts w:ascii="Times New Roman" w:hAnsi="Times New Roman"/>
          <w:b/>
          <w:sz w:val="24"/>
          <w:szCs w:val="24"/>
        </w:rPr>
      </w:pPr>
      <w:r>
        <w:rPr>
          <w:rFonts w:hint="eastAsia" w:ascii="Times New Roman" w:hAnsi="Times New Roman"/>
          <w:b/>
          <w:sz w:val="24"/>
          <w:szCs w:val="24"/>
        </w:rPr>
        <w:t>第二册  通用条款</w:t>
      </w:r>
    </w:p>
    <w:p w14:paraId="0C620CFC">
      <w:pPr>
        <w:ind w:left="630" w:leftChars="300" w:firstLine="411" w:firstLineChars="196"/>
        <w:rPr>
          <w:rFonts w:ascii="宋体" w:hAnsi="宋体"/>
          <w:szCs w:val="21"/>
        </w:rPr>
      </w:pPr>
      <w:r>
        <w:rPr>
          <w:rFonts w:hint="eastAsia" w:ascii="宋体" w:hAnsi="宋体"/>
          <w:szCs w:val="21"/>
        </w:rPr>
        <w:t>第一章  总则</w:t>
      </w:r>
    </w:p>
    <w:p w14:paraId="706C788B">
      <w:pPr>
        <w:ind w:left="630" w:leftChars="300" w:firstLine="411" w:firstLineChars="196"/>
        <w:rPr>
          <w:rFonts w:ascii="宋体" w:hAnsi="宋体"/>
          <w:szCs w:val="21"/>
        </w:rPr>
      </w:pPr>
      <w:r>
        <w:rPr>
          <w:rFonts w:hint="eastAsia" w:ascii="宋体" w:hAnsi="宋体"/>
          <w:szCs w:val="21"/>
        </w:rPr>
        <w:t>第二章  招标文件</w:t>
      </w:r>
    </w:p>
    <w:p w14:paraId="34E503FA">
      <w:pPr>
        <w:ind w:left="630" w:leftChars="300" w:firstLine="411" w:firstLineChars="196"/>
        <w:rPr>
          <w:rFonts w:ascii="宋体" w:hAnsi="宋体"/>
          <w:szCs w:val="21"/>
        </w:rPr>
      </w:pPr>
      <w:r>
        <w:rPr>
          <w:rFonts w:hint="eastAsia" w:ascii="宋体" w:hAnsi="宋体"/>
          <w:szCs w:val="21"/>
        </w:rPr>
        <w:t>第三章  投标文件的编制</w:t>
      </w:r>
    </w:p>
    <w:p w14:paraId="32109BA6">
      <w:pPr>
        <w:ind w:left="630" w:leftChars="300" w:firstLine="411" w:firstLineChars="196"/>
        <w:rPr>
          <w:rFonts w:ascii="宋体" w:hAnsi="宋体"/>
          <w:szCs w:val="21"/>
        </w:rPr>
      </w:pPr>
      <w:r>
        <w:rPr>
          <w:rFonts w:hint="eastAsia" w:ascii="宋体" w:hAnsi="宋体"/>
          <w:szCs w:val="21"/>
        </w:rPr>
        <w:t>第四章  投标文件的递交</w:t>
      </w:r>
    </w:p>
    <w:p w14:paraId="49DEDA7F">
      <w:pPr>
        <w:ind w:left="630" w:leftChars="300" w:firstLine="411" w:firstLineChars="196"/>
        <w:rPr>
          <w:rFonts w:ascii="宋体" w:hAnsi="宋体"/>
          <w:szCs w:val="21"/>
        </w:rPr>
      </w:pPr>
      <w:r>
        <w:rPr>
          <w:rFonts w:hint="eastAsia" w:ascii="宋体" w:hAnsi="宋体"/>
          <w:szCs w:val="21"/>
        </w:rPr>
        <w:t>第五章  开标</w:t>
      </w:r>
    </w:p>
    <w:p w14:paraId="466EACE9">
      <w:pPr>
        <w:ind w:left="630" w:leftChars="300" w:firstLine="411" w:firstLineChars="196"/>
        <w:rPr>
          <w:rFonts w:ascii="宋体" w:hAnsi="宋体"/>
          <w:szCs w:val="21"/>
        </w:rPr>
      </w:pPr>
      <w:r>
        <w:rPr>
          <w:rFonts w:hint="eastAsia" w:ascii="宋体" w:hAnsi="宋体"/>
          <w:szCs w:val="21"/>
        </w:rPr>
        <w:t>第六章  评标要求</w:t>
      </w:r>
    </w:p>
    <w:p w14:paraId="5F54A860">
      <w:pPr>
        <w:ind w:left="630" w:leftChars="300" w:firstLine="411" w:firstLineChars="196"/>
        <w:rPr>
          <w:rFonts w:ascii="宋体" w:hAnsi="宋体"/>
          <w:szCs w:val="21"/>
        </w:rPr>
      </w:pPr>
      <w:r>
        <w:rPr>
          <w:rFonts w:hint="eastAsia" w:ascii="宋体" w:hAnsi="宋体"/>
          <w:szCs w:val="21"/>
        </w:rPr>
        <w:t>第七章  评标程序及评标方法</w:t>
      </w:r>
    </w:p>
    <w:p w14:paraId="4216BDEE">
      <w:pPr>
        <w:ind w:left="630" w:leftChars="300" w:firstLine="411" w:firstLineChars="196"/>
        <w:rPr>
          <w:rFonts w:ascii="宋体" w:hAnsi="宋体"/>
          <w:szCs w:val="21"/>
        </w:rPr>
      </w:pPr>
      <w:r>
        <w:rPr>
          <w:rFonts w:hint="eastAsia" w:ascii="宋体" w:hAnsi="宋体"/>
          <w:szCs w:val="21"/>
        </w:rPr>
        <w:t>第八章  定标及公示</w:t>
      </w:r>
    </w:p>
    <w:p w14:paraId="4A52F28C">
      <w:pPr>
        <w:ind w:left="630" w:leftChars="300" w:firstLine="411" w:firstLineChars="196"/>
        <w:rPr>
          <w:rFonts w:ascii="宋体" w:hAnsi="宋体"/>
          <w:szCs w:val="21"/>
        </w:rPr>
      </w:pPr>
      <w:r>
        <w:rPr>
          <w:rFonts w:hint="eastAsia" w:ascii="宋体" w:hAnsi="宋体"/>
          <w:szCs w:val="21"/>
        </w:rPr>
        <w:t>第九章  公开招标失败的后续处理</w:t>
      </w:r>
    </w:p>
    <w:p w14:paraId="6DBFF0AD">
      <w:pPr>
        <w:ind w:left="630" w:leftChars="300" w:firstLine="411" w:firstLineChars="196"/>
        <w:rPr>
          <w:rFonts w:ascii="宋体" w:hAnsi="宋体"/>
          <w:szCs w:val="21"/>
        </w:rPr>
      </w:pPr>
      <w:r>
        <w:rPr>
          <w:rFonts w:hint="eastAsia" w:ascii="宋体" w:hAnsi="宋体"/>
          <w:szCs w:val="21"/>
        </w:rPr>
        <w:t>第十章  合同的授予与备案</w:t>
      </w:r>
    </w:p>
    <w:p w14:paraId="6F5F7C20">
      <w:pPr>
        <w:ind w:left="630" w:leftChars="300" w:firstLine="411" w:firstLineChars="196"/>
        <w:rPr>
          <w:rFonts w:ascii="宋体" w:hAnsi="宋体"/>
          <w:szCs w:val="21"/>
        </w:rPr>
      </w:pPr>
      <w:r>
        <w:rPr>
          <w:rFonts w:hint="eastAsia" w:ascii="宋体" w:hAnsi="宋体"/>
          <w:szCs w:val="21"/>
        </w:rPr>
        <w:t>第十一章  质疑处理</w:t>
      </w:r>
    </w:p>
    <w:p w14:paraId="33B7BF6C">
      <w:pPr>
        <w:rPr>
          <w:rFonts w:ascii="Times New Roman" w:hAnsi="Times New Roman"/>
          <w:sz w:val="24"/>
          <w:szCs w:val="24"/>
        </w:rPr>
      </w:pPr>
    </w:p>
    <w:p w14:paraId="3FD72EE8">
      <w:pPr>
        <w:rPr>
          <w:rFonts w:ascii="Times New Roman" w:hAnsi="Times New Roman"/>
          <w:b/>
          <w:szCs w:val="24"/>
        </w:rPr>
      </w:pPr>
      <w:r>
        <w:rPr>
          <w:rFonts w:hint="eastAsia" w:ascii="Times New Roman" w:hAnsi="Times New Roman"/>
          <w:b/>
          <w:szCs w:val="24"/>
        </w:rPr>
        <w:t>备注：</w:t>
      </w:r>
    </w:p>
    <w:p w14:paraId="3A57629F">
      <w:pPr>
        <w:ind w:firstLine="420" w:firstLineChars="200"/>
        <w:rPr>
          <w:rFonts w:ascii="Times New Roman" w:hAnsi="Times New Roman"/>
          <w:b/>
          <w:szCs w:val="24"/>
        </w:rPr>
      </w:pPr>
      <w:r>
        <w:rPr>
          <w:rFonts w:hint="eastAsia" w:ascii="宋体" w:hAnsi="宋体"/>
          <w:szCs w:val="21"/>
        </w:rPr>
        <w:t>1.本招标文件分为第一册“专用条款”和第二册“通用条款”。</w:t>
      </w:r>
    </w:p>
    <w:p w14:paraId="46A96FCB">
      <w:pPr>
        <w:spacing w:line="360" w:lineRule="auto"/>
        <w:ind w:firstLine="420" w:firstLineChars="200"/>
        <w:jc w:val="left"/>
        <w:rPr>
          <w:rFonts w:ascii="宋体" w:hAnsi="宋体"/>
          <w:szCs w:val="21"/>
        </w:rPr>
      </w:pPr>
      <w:r>
        <w:rPr>
          <w:rFonts w:hint="eastAsia" w:ascii="宋体" w:hAnsi="宋体"/>
          <w:szCs w:val="21"/>
        </w:rPr>
        <w:t>2.“专用条款”是对本次采购项目的具体要求，包含招标公告、招标项目需求、投标文件格式、合同及履约情况反馈格式等内容。</w:t>
      </w:r>
    </w:p>
    <w:p w14:paraId="5077F4C6">
      <w:pPr>
        <w:spacing w:line="360" w:lineRule="auto"/>
        <w:ind w:firstLine="420" w:firstLineChars="200"/>
        <w:jc w:val="left"/>
        <w:rPr>
          <w:rFonts w:ascii="宋体" w:hAnsi="宋体"/>
          <w:szCs w:val="21"/>
        </w:rPr>
      </w:pPr>
      <w:r>
        <w:rPr>
          <w:rFonts w:hint="eastAsia" w:ascii="宋体" w:hAnsi="宋体"/>
          <w:szCs w:val="21"/>
        </w:rPr>
        <w:t>3.“通用条款”是适用于政府采购项目的基础性条款，具有普遍性和通用性。</w:t>
      </w:r>
    </w:p>
    <w:p w14:paraId="2758B1E6">
      <w:pPr>
        <w:spacing w:line="360" w:lineRule="auto"/>
        <w:ind w:firstLine="420" w:firstLineChars="200"/>
        <w:jc w:val="left"/>
        <w:rPr>
          <w:rFonts w:ascii="宋体" w:hAnsi="宋体"/>
          <w:szCs w:val="21"/>
        </w:rPr>
      </w:pPr>
      <w:r>
        <w:rPr>
          <w:rFonts w:hint="eastAsia" w:ascii="宋体" w:hAnsi="宋体"/>
          <w:szCs w:val="21"/>
        </w:rPr>
        <w:t>4.当出现“专用条款”和“通用条款”表述不一致或有冲突时，以“专用条款”为准。</w:t>
      </w:r>
    </w:p>
    <w:p w14:paraId="5537A73B">
      <w:pPr>
        <w:rPr>
          <w:rFonts w:ascii="宋体" w:hAnsi="宋体"/>
          <w:szCs w:val="21"/>
        </w:rPr>
      </w:pPr>
    </w:p>
    <w:p w14:paraId="07F7F338">
      <w:pPr>
        <w:widowControl/>
        <w:jc w:val="left"/>
        <w:rPr>
          <w:rFonts w:ascii="宋体" w:hAnsi="宋体" w:eastAsia="黑体"/>
          <w:b/>
          <w:bCs/>
          <w:kern w:val="44"/>
          <w:sz w:val="28"/>
          <w:szCs w:val="44"/>
        </w:rPr>
      </w:pPr>
      <w:r>
        <w:rPr>
          <w:rFonts w:ascii="Times New Roman" w:hAnsi="Times New Roman"/>
          <w:szCs w:val="24"/>
        </w:rPr>
        <w:br w:type="page"/>
      </w:r>
    </w:p>
    <w:p w14:paraId="78F2D397">
      <w:pPr>
        <w:keepNext/>
        <w:keepLines/>
        <w:spacing w:before="340" w:after="330" w:line="360" w:lineRule="auto"/>
        <w:jc w:val="center"/>
        <w:outlineLvl w:val="0"/>
        <w:rPr>
          <w:rFonts w:ascii="宋体" w:hAnsi="宋体" w:eastAsia="黑体"/>
          <w:b/>
          <w:bCs/>
          <w:kern w:val="44"/>
          <w:sz w:val="24"/>
          <w:szCs w:val="44"/>
        </w:rPr>
      </w:pPr>
      <w:r>
        <w:rPr>
          <w:rFonts w:hint="eastAsia" w:ascii="宋体" w:hAnsi="宋体" w:eastAsia="黑体"/>
          <w:b/>
          <w:bCs/>
          <w:kern w:val="44"/>
          <w:sz w:val="28"/>
          <w:szCs w:val="44"/>
        </w:rPr>
        <w:t>第一册  专用条款</w:t>
      </w:r>
    </w:p>
    <w:p w14:paraId="0CFFACB8">
      <w:pPr>
        <w:keepNext/>
        <w:keepLines/>
        <w:adjustRightInd w:val="0"/>
        <w:spacing w:before="260" w:after="260" w:line="360" w:lineRule="exact"/>
        <w:jc w:val="center"/>
        <w:textAlignment w:val="baseline"/>
        <w:outlineLvl w:val="1"/>
        <w:rPr>
          <w:rFonts w:ascii="宋体" w:hAnsi="宋体"/>
          <w:b/>
          <w:bCs/>
          <w:kern w:val="0"/>
          <w:sz w:val="24"/>
          <w:szCs w:val="20"/>
        </w:rPr>
      </w:pPr>
      <w:r>
        <w:rPr>
          <w:rFonts w:hint="eastAsia" w:ascii="宋体" w:hAnsi="宋体"/>
          <w:b/>
          <w:bCs/>
          <w:kern w:val="0"/>
          <w:sz w:val="24"/>
          <w:szCs w:val="20"/>
        </w:rPr>
        <w:t>第一章  招标公告</w:t>
      </w:r>
    </w:p>
    <w:p w14:paraId="71AA8EFA">
      <w:pPr>
        <w:spacing w:line="360" w:lineRule="exact"/>
        <w:rPr>
          <w:rFonts w:ascii="宋体" w:hAnsi="宋体"/>
          <w:vanish/>
          <w:szCs w:val="21"/>
        </w:rPr>
      </w:pPr>
    </w:p>
    <w:p w14:paraId="758B007F">
      <w:pPr>
        <w:widowControl/>
        <w:spacing w:line="360" w:lineRule="exact"/>
        <w:rPr>
          <w:rFonts w:ascii="宋体" w:hAnsi="宋体"/>
          <w:szCs w:val="24"/>
        </w:rPr>
      </w:pPr>
      <w:bookmarkStart w:id="0" w:name="OLE_LINK1"/>
      <w:bookmarkStart w:id="1" w:name="OLE_LINK2"/>
      <w:r>
        <w:rPr>
          <w:rFonts w:ascii="宋体" w:hAnsi="宋体"/>
          <w:szCs w:val="24"/>
        </w:rPr>
        <w:t>项目概况</w:t>
      </w:r>
      <w:r>
        <w:rPr>
          <w:rFonts w:hint="eastAsia" w:ascii="宋体" w:hAnsi="宋体"/>
          <w:szCs w:val="24"/>
        </w:rPr>
        <w:t>:</w:t>
      </w:r>
    </w:p>
    <w:p w14:paraId="5D22BE1F">
      <w:pPr>
        <w:widowControl/>
        <w:spacing w:line="360" w:lineRule="exact"/>
        <w:ind w:firstLine="424" w:firstLineChars="202"/>
        <w:rPr>
          <w:rFonts w:ascii="宋体" w:hAnsi="宋体"/>
          <w:szCs w:val="24"/>
        </w:rPr>
      </w:pPr>
      <w:r>
        <w:rPr>
          <w:rFonts w:hint="eastAsia" w:asciiTheme="minorEastAsia" w:hAnsiTheme="minorEastAsia" w:eastAsiaTheme="minorEastAsia"/>
          <w:szCs w:val="24"/>
          <w:lang w:eastAsia="zh-CN"/>
        </w:rPr>
        <w:t>夜间经济消费场景氛围营造示范项目</w:t>
      </w:r>
      <w:r>
        <w:rPr>
          <w:rFonts w:ascii="宋体" w:hAnsi="宋体"/>
          <w:szCs w:val="24"/>
        </w:rPr>
        <w:t xml:space="preserve">的潜在投标人应在（本公告附件中）获取招标文件，并于 </w:t>
      </w:r>
      <w:r>
        <w:rPr>
          <w:rFonts w:ascii="宋体" w:hAnsi="宋体"/>
          <w:b/>
          <w:szCs w:val="24"/>
          <w:u w:val="single"/>
        </w:rPr>
        <w:t>2024年</w:t>
      </w:r>
      <w:r>
        <w:rPr>
          <w:rFonts w:hint="eastAsia" w:ascii="宋体" w:hAnsi="宋体"/>
          <w:b/>
          <w:szCs w:val="24"/>
          <w:u w:val="single"/>
          <w:lang w:val="en-US" w:eastAsia="zh-CN"/>
        </w:rPr>
        <w:t>11</w:t>
      </w:r>
      <w:r>
        <w:rPr>
          <w:rFonts w:ascii="宋体" w:hAnsi="宋体"/>
          <w:b/>
          <w:szCs w:val="24"/>
          <w:u w:val="single"/>
        </w:rPr>
        <w:t>月</w:t>
      </w:r>
      <w:r>
        <w:rPr>
          <w:rFonts w:hint="eastAsia" w:ascii="宋体" w:hAnsi="宋体"/>
          <w:b/>
          <w:szCs w:val="24"/>
          <w:u w:val="single"/>
          <w:lang w:val="en-US" w:eastAsia="zh-CN"/>
        </w:rPr>
        <w:t>29</w:t>
      </w:r>
      <w:r>
        <w:rPr>
          <w:rFonts w:ascii="宋体" w:hAnsi="宋体"/>
          <w:b/>
          <w:szCs w:val="24"/>
          <w:u w:val="single"/>
        </w:rPr>
        <w:t>日</w:t>
      </w:r>
      <w:r>
        <w:rPr>
          <w:rFonts w:hint="eastAsia" w:ascii="宋体" w:hAnsi="宋体"/>
          <w:b/>
          <w:szCs w:val="24"/>
          <w:u w:val="single"/>
        </w:rPr>
        <w:t>14:00</w:t>
      </w:r>
      <w:r>
        <w:rPr>
          <w:rFonts w:ascii="宋体" w:hAnsi="宋体"/>
          <w:b/>
          <w:szCs w:val="24"/>
          <w:u w:val="single"/>
        </w:rPr>
        <w:t>（北京时间）</w:t>
      </w:r>
      <w:r>
        <w:rPr>
          <w:rFonts w:ascii="宋体" w:hAnsi="宋体"/>
          <w:szCs w:val="24"/>
        </w:rPr>
        <w:t xml:space="preserve">前递交投标文件。 </w:t>
      </w:r>
    </w:p>
    <w:p w14:paraId="3CED74FB">
      <w:pPr>
        <w:widowControl/>
        <w:spacing w:line="360" w:lineRule="exact"/>
        <w:rPr>
          <w:rFonts w:ascii="宋体" w:hAnsi="宋体"/>
          <w:szCs w:val="24"/>
        </w:rPr>
      </w:pPr>
    </w:p>
    <w:p w14:paraId="04B2DDCF">
      <w:pPr>
        <w:widowControl/>
        <w:spacing w:line="360" w:lineRule="exact"/>
        <w:rPr>
          <w:rFonts w:ascii="宋体" w:hAnsi="宋体"/>
          <w:szCs w:val="24"/>
        </w:rPr>
      </w:pPr>
      <w:r>
        <w:rPr>
          <w:rFonts w:ascii="宋体" w:hAnsi="宋体"/>
          <w:szCs w:val="24"/>
        </w:rPr>
        <w:t>一、项目基本情况</w:t>
      </w:r>
    </w:p>
    <w:p w14:paraId="5BABADD1">
      <w:pPr>
        <w:widowControl/>
        <w:spacing w:line="360" w:lineRule="exact"/>
        <w:ind w:firstLine="424" w:firstLineChars="202"/>
        <w:rPr>
          <w:rFonts w:hint="eastAsia" w:ascii="宋体" w:hAnsi="宋体" w:eastAsia="宋体"/>
          <w:szCs w:val="21"/>
          <w:lang w:eastAsia="zh-CN"/>
        </w:rPr>
      </w:pPr>
      <w:r>
        <w:rPr>
          <w:rFonts w:ascii="宋体" w:hAnsi="宋体"/>
          <w:szCs w:val="21"/>
        </w:rPr>
        <w:t>1</w:t>
      </w:r>
      <w:r>
        <w:rPr>
          <w:rFonts w:hint="eastAsia" w:ascii="宋体" w:hAnsi="宋体"/>
          <w:szCs w:val="21"/>
        </w:rPr>
        <w:t>、</w:t>
      </w:r>
      <w:r>
        <w:rPr>
          <w:rFonts w:ascii="宋体" w:hAnsi="宋体"/>
          <w:szCs w:val="21"/>
        </w:rPr>
        <w:t>项目编号：</w:t>
      </w:r>
      <w:r>
        <w:rPr>
          <w:rFonts w:hint="eastAsia" w:ascii="宋体" w:hAnsi="宋体"/>
          <w:szCs w:val="21"/>
          <w:lang w:eastAsia="zh-CN"/>
        </w:rPr>
        <w:t>SZDL2024002058</w:t>
      </w:r>
    </w:p>
    <w:p w14:paraId="75703D37">
      <w:pPr>
        <w:widowControl/>
        <w:spacing w:line="360" w:lineRule="exact"/>
        <w:ind w:firstLine="424" w:firstLineChars="202"/>
        <w:rPr>
          <w:rFonts w:hint="eastAsia" w:ascii="宋体" w:hAnsi="宋体" w:eastAsia="宋体"/>
          <w:szCs w:val="21"/>
          <w:lang w:eastAsia="zh-CN"/>
        </w:rPr>
      </w:pPr>
      <w:r>
        <w:rPr>
          <w:rFonts w:ascii="宋体" w:hAnsi="宋体"/>
          <w:szCs w:val="21"/>
        </w:rPr>
        <w:t>2</w:t>
      </w:r>
      <w:r>
        <w:rPr>
          <w:rFonts w:hint="eastAsia" w:ascii="宋体" w:hAnsi="宋体"/>
          <w:szCs w:val="21"/>
        </w:rPr>
        <w:t>、</w:t>
      </w:r>
      <w:r>
        <w:rPr>
          <w:rFonts w:ascii="宋体" w:hAnsi="宋体"/>
          <w:szCs w:val="21"/>
        </w:rPr>
        <w:t>项目名称：</w:t>
      </w:r>
      <w:r>
        <w:rPr>
          <w:rFonts w:hint="eastAsia" w:ascii="宋体" w:hAnsi="宋体"/>
          <w:szCs w:val="21"/>
          <w:lang w:eastAsia="zh-CN"/>
        </w:rPr>
        <w:t>夜间经济消费场景氛围营造示范项目</w:t>
      </w:r>
    </w:p>
    <w:p w14:paraId="61082EA6">
      <w:pPr>
        <w:widowControl/>
        <w:spacing w:line="360" w:lineRule="exact"/>
        <w:ind w:firstLine="424" w:firstLineChars="202"/>
        <w:rPr>
          <w:rFonts w:ascii="宋体" w:hAnsi="宋体"/>
          <w:szCs w:val="21"/>
        </w:rPr>
      </w:pPr>
      <w:r>
        <w:rPr>
          <w:rFonts w:ascii="宋体" w:hAnsi="宋体"/>
          <w:szCs w:val="21"/>
        </w:rPr>
        <w:t>3</w:t>
      </w:r>
      <w:r>
        <w:rPr>
          <w:rFonts w:hint="eastAsia" w:ascii="宋体" w:hAnsi="宋体"/>
          <w:szCs w:val="21"/>
        </w:rPr>
        <w:t>、</w:t>
      </w:r>
      <w:r>
        <w:rPr>
          <w:rFonts w:ascii="宋体" w:hAnsi="宋体"/>
          <w:szCs w:val="21"/>
        </w:rPr>
        <w:t>预算金额：</w:t>
      </w:r>
      <w:r>
        <w:rPr>
          <w:rFonts w:hint="eastAsia" w:ascii="宋体" w:hAnsi="宋体"/>
          <w:szCs w:val="21"/>
        </w:rPr>
        <w:t>人民币</w:t>
      </w:r>
      <w:r>
        <w:rPr>
          <w:rFonts w:hint="eastAsia" w:ascii="宋体" w:hAnsi="宋体"/>
          <w:szCs w:val="21"/>
          <w:lang w:val="en-US" w:eastAsia="zh-CN"/>
        </w:rPr>
        <w:t>1,260,000.00</w:t>
      </w:r>
      <w:r>
        <w:rPr>
          <w:rFonts w:ascii="宋体" w:hAnsi="宋体"/>
          <w:szCs w:val="21"/>
        </w:rPr>
        <w:t>元</w:t>
      </w:r>
    </w:p>
    <w:p w14:paraId="359793D3">
      <w:pPr>
        <w:widowControl/>
        <w:spacing w:line="360" w:lineRule="exact"/>
        <w:ind w:firstLine="424" w:firstLineChars="202"/>
        <w:rPr>
          <w:rFonts w:ascii="宋体" w:hAnsi="宋体"/>
          <w:szCs w:val="21"/>
        </w:rPr>
      </w:pPr>
      <w:r>
        <w:rPr>
          <w:rFonts w:ascii="宋体" w:hAnsi="宋体"/>
          <w:szCs w:val="21"/>
        </w:rPr>
        <w:t>4</w:t>
      </w:r>
      <w:r>
        <w:rPr>
          <w:rFonts w:hint="eastAsia" w:ascii="宋体" w:hAnsi="宋体"/>
          <w:szCs w:val="21"/>
        </w:rPr>
        <w:t>、</w:t>
      </w:r>
      <w:r>
        <w:rPr>
          <w:rFonts w:ascii="宋体" w:hAnsi="宋体"/>
          <w:szCs w:val="21"/>
        </w:rPr>
        <w:t>最高限价：</w:t>
      </w:r>
      <w:r>
        <w:rPr>
          <w:rFonts w:hint="eastAsia" w:ascii="宋体" w:hAnsi="宋体"/>
          <w:szCs w:val="21"/>
        </w:rPr>
        <w:t>人民币</w:t>
      </w:r>
      <w:r>
        <w:rPr>
          <w:rFonts w:hint="eastAsia" w:ascii="宋体" w:hAnsi="宋体"/>
          <w:szCs w:val="21"/>
          <w:lang w:val="en-US" w:eastAsia="zh-CN"/>
        </w:rPr>
        <w:t>1,260,000.00</w:t>
      </w:r>
      <w:r>
        <w:rPr>
          <w:rFonts w:ascii="宋体" w:hAnsi="宋体"/>
          <w:szCs w:val="21"/>
        </w:rPr>
        <w:t>元</w:t>
      </w:r>
    </w:p>
    <w:p w14:paraId="2AAEDF1B">
      <w:pPr>
        <w:widowControl/>
        <w:spacing w:line="360" w:lineRule="exact"/>
        <w:ind w:firstLine="424" w:firstLineChars="202"/>
        <w:rPr>
          <w:rFonts w:ascii="宋体" w:hAnsi="宋体"/>
          <w:szCs w:val="21"/>
        </w:rPr>
      </w:pPr>
      <w:r>
        <w:rPr>
          <w:rFonts w:ascii="宋体" w:hAnsi="宋体"/>
          <w:szCs w:val="21"/>
        </w:rPr>
        <w:t>5</w:t>
      </w:r>
      <w:r>
        <w:rPr>
          <w:rFonts w:hint="eastAsia" w:ascii="宋体" w:hAnsi="宋体"/>
          <w:szCs w:val="21"/>
        </w:rPr>
        <w:t>、</w:t>
      </w:r>
      <w:r>
        <w:rPr>
          <w:rFonts w:ascii="宋体" w:hAnsi="宋体"/>
          <w:szCs w:val="21"/>
        </w:rPr>
        <w:t>采购需求：</w:t>
      </w:r>
    </w:p>
    <w:tbl>
      <w:tblPr>
        <w:tblStyle w:val="42"/>
        <w:tblW w:w="9214" w:type="dxa"/>
        <w:tblInd w:w="60" w:type="dxa"/>
        <w:tblBorders>
          <w:top w:val="outset" w:color="AAAAAA" w:sz="6" w:space="0"/>
          <w:left w:val="outset" w:color="AAAAAA" w:sz="6" w:space="0"/>
          <w:bottom w:val="outset" w:color="AAAAAA" w:sz="6" w:space="0"/>
          <w:right w:val="outset" w:color="AAAAAA" w:sz="6" w:space="0"/>
          <w:insideH w:val="outset" w:color="AAAAAA" w:sz="6" w:space="0"/>
          <w:insideV w:val="outset" w:color="AAAAAA" w:sz="6" w:space="0"/>
        </w:tblBorders>
        <w:tblLayout w:type="autofit"/>
        <w:tblCellMar>
          <w:top w:w="60" w:type="dxa"/>
          <w:left w:w="60" w:type="dxa"/>
          <w:bottom w:w="60" w:type="dxa"/>
          <w:right w:w="60" w:type="dxa"/>
        </w:tblCellMar>
      </w:tblPr>
      <w:tblGrid>
        <w:gridCol w:w="3261"/>
        <w:gridCol w:w="850"/>
        <w:gridCol w:w="992"/>
        <w:gridCol w:w="2694"/>
        <w:gridCol w:w="1417"/>
      </w:tblGrid>
      <w:tr w14:paraId="3AE5EEDA">
        <w:tblPrEx>
          <w:tblBorders>
            <w:top w:val="outset" w:color="AAAAAA" w:sz="6" w:space="0"/>
            <w:left w:val="outset" w:color="AAAAAA" w:sz="6" w:space="0"/>
            <w:bottom w:val="outset" w:color="AAAAAA" w:sz="6" w:space="0"/>
            <w:right w:val="outset" w:color="AAAAAA" w:sz="6" w:space="0"/>
            <w:insideH w:val="outset" w:color="AAAAAA" w:sz="6" w:space="0"/>
            <w:insideV w:val="outset" w:color="AAAAAA" w:sz="6" w:space="0"/>
          </w:tblBorders>
          <w:tblCellMar>
            <w:top w:w="60" w:type="dxa"/>
            <w:left w:w="60" w:type="dxa"/>
            <w:bottom w:w="60" w:type="dxa"/>
            <w:right w:w="60" w:type="dxa"/>
          </w:tblCellMar>
        </w:tblPrEx>
        <w:trPr>
          <w:trHeight w:val="462" w:hRule="atLeast"/>
        </w:trPr>
        <w:tc>
          <w:tcPr>
            <w:tcW w:w="3261"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6D2C8E56">
            <w:pPr>
              <w:widowControl/>
              <w:spacing w:line="360" w:lineRule="exact"/>
              <w:jc w:val="center"/>
              <w:rPr>
                <w:rFonts w:hint="eastAsia" w:ascii="宋体" w:hAnsi="宋体" w:eastAsia="宋体" w:cs="宋体"/>
                <w:sz w:val="21"/>
                <w:szCs w:val="21"/>
              </w:rPr>
            </w:pPr>
            <w:r>
              <w:rPr>
                <w:rFonts w:hint="eastAsia" w:ascii="宋体" w:hAnsi="宋体" w:eastAsia="宋体" w:cs="宋体"/>
                <w:sz w:val="21"/>
                <w:szCs w:val="21"/>
              </w:rPr>
              <w:t>标的名称</w:t>
            </w:r>
          </w:p>
        </w:tc>
        <w:tc>
          <w:tcPr>
            <w:tcW w:w="850"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3792C023">
            <w:pPr>
              <w:widowControl/>
              <w:spacing w:line="36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992"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00450988">
            <w:pPr>
              <w:widowControl/>
              <w:spacing w:line="36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2694"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0A524E9A">
            <w:pPr>
              <w:widowControl/>
              <w:spacing w:line="360" w:lineRule="exact"/>
              <w:jc w:val="center"/>
              <w:rPr>
                <w:rFonts w:hint="eastAsia" w:ascii="宋体" w:hAnsi="宋体" w:eastAsia="宋体" w:cs="宋体"/>
                <w:sz w:val="21"/>
                <w:szCs w:val="21"/>
              </w:rPr>
            </w:pPr>
            <w:r>
              <w:rPr>
                <w:rFonts w:hint="eastAsia" w:ascii="宋体" w:hAnsi="宋体" w:eastAsia="宋体" w:cs="宋体"/>
                <w:sz w:val="21"/>
                <w:szCs w:val="21"/>
              </w:rPr>
              <w:t>简要技术需求或服务要求</w:t>
            </w:r>
          </w:p>
        </w:tc>
        <w:tc>
          <w:tcPr>
            <w:tcW w:w="1417" w:type="dxa"/>
            <w:tcBorders>
              <w:top w:val="outset" w:color="AAAAAA" w:sz="6" w:space="0"/>
              <w:left w:val="outset" w:color="AAAAAA" w:sz="6" w:space="0"/>
              <w:bottom w:val="outset" w:color="AAAAAA" w:sz="6" w:space="0"/>
              <w:right w:val="outset" w:color="AAAAAA" w:sz="6" w:space="0"/>
            </w:tcBorders>
            <w:shd w:val="clear" w:color="auto" w:fill="ABCDEF"/>
            <w:vAlign w:val="center"/>
          </w:tcPr>
          <w:p w14:paraId="093B7C22">
            <w:pPr>
              <w:widowControl/>
              <w:spacing w:line="360" w:lineRule="exact"/>
              <w:jc w:val="center"/>
              <w:rPr>
                <w:rFonts w:hint="eastAsia" w:ascii="宋体" w:hAnsi="宋体" w:eastAsia="宋体" w:cs="宋体"/>
                <w:sz w:val="21"/>
                <w:szCs w:val="21"/>
              </w:rPr>
            </w:pPr>
            <w:r>
              <w:rPr>
                <w:rFonts w:hint="eastAsia" w:ascii="宋体" w:hAnsi="宋体" w:eastAsia="宋体" w:cs="宋体"/>
                <w:sz w:val="21"/>
                <w:szCs w:val="21"/>
              </w:rPr>
              <w:t>备注</w:t>
            </w:r>
          </w:p>
        </w:tc>
      </w:tr>
      <w:tr w14:paraId="090C0168">
        <w:tblPrEx>
          <w:tblBorders>
            <w:top w:val="outset" w:color="AAAAAA" w:sz="6" w:space="0"/>
            <w:left w:val="outset" w:color="AAAAAA" w:sz="6" w:space="0"/>
            <w:bottom w:val="outset" w:color="AAAAAA" w:sz="6" w:space="0"/>
            <w:right w:val="outset" w:color="AAAAAA" w:sz="6" w:space="0"/>
            <w:insideH w:val="outset" w:color="AAAAAA" w:sz="6" w:space="0"/>
            <w:insideV w:val="outset" w:color="AAAAAA" w:sz="6" w:space="0"/>
          </w:tblBorders>
          <w:tblCellMar>
            <w:top w:w="60" w:type="dxa"/>
            <w:left w:w="60" w:type="dxa"/>
            <w:bottom w:w="60" w:type="dxa"/>
            <w:right w:w="60" w:type="dxa"/>
          </w:tblCellMar>
        </w:tblPrEx>
        <w:trPr>
          <w:trHeight w:val="462" w:hRule="atLeast"/>
        </w:trPr>
        <w:tc>
          <w:tcPr>
            <w:tcW w:w="3261" w:type="dxa"/>
            <w:tcBorders>
              <w:top w:val="outset" w:color="AAAAAA" w:sz="6" w:space="0"/>
              <w:left w:val="outset" w:color="AAAAAA" w:sz="6" w:space="0"/>
              <w:bottom w:val="outset" w:color="AAAAAA" w:sz="6" w:space="0"/>
              <w:right w:val="outset" w:color="AAAAAA" w:sz="6" w:space="0"/>
            </w:tcBorders>
            <w:shd w:val="clear" w:color="auto" w:fill="auto"/>
            <w:vAlign w:val="center"/>
          </w:tcPr>
          <w:p w14:paraId="26CBAC2C">
            <w:pPr>
              <w:widowControl/>
              <w:spacing w:line="360" w:lineRule="exact"/>
              <w:jc w:val="center"/>
              <w:rPr>
                <w:rFonts w:hint="eastAsia" w:ascii="宋体" w:hAnsi="宋体" w:eastAsia="宋体" w:cs="宋体"/>
                <w:sz w:val="21"/>
                <w:szCs w:val="21"/>
                <w:lang w:eastAsia="zh-CN"/>
              </w:rPr>
            </w:pPr>
            <w:r>
              <w:rPr>
                <w:rFonts w:hint="eastAsia" w:ascii="宋体" w:hAnsi="宋体" w:cs="宋体"/>
                <w:sz w:val="21"/>
                <w:szCs w:val="21"/>
                <w:lang w:eastAsia="zh-CN"/>
              </w:rPr>
              <w:t>夜间经济消费场景氛围营造示范项目</w:t>
            </w:r>
          </w:p>
        </w:tc>
        <w:tc>
          <w:tcPr>
            <w:tcW w:w="850" w:type="dxa"/>
            <w:tcBorders>
              <w:top w:val="outset" w:color="AAAAAA" w:sz="6" w:space="0"/>
              <w:left w:val="outset" w:color="AAAAAA" w:sz="6" w:space="0"/>
              <w:bottom w:val="outset" w:color="AAAAAA" w:sz="6" w:space="0"/>
              <w:right w:val="outset" w:color="AAAAAA" w:sz="6" w:space="0"/>
            </w:tcBorders>
            <w:shd w:val="clear" w:color="auto" w:fill="auto"/>
            <w:vAlign w:val="center"/>
          </w:tcPr>
          <w:p w14:paraId="30E3DCF4">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992" w:type="dxa"/>
            <w:tcBorders>
              <w:top w:val="outset" w:color="AAAAAA" w:sz="6" w:space="0"/>
              <w:left w:val="outset" w:color="AAAAAA" w:sz="6" w:space="0"/>
              <w:bottom w:val="outset" w:color="AAAAAA" w:sz="6" w:space="0"/>
              <w:right w:val="outset" w:color="AAAAAA" w:sz="6" w:space="0"/>
            </w:tcBorders>
            <w:shd w:val="clear" w:color="auto" w:fill="auto"/>
            <w:vAlign w:val="center"/>
          </w:tcPr>
          <w:p w14:paraId="516589D1">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项</w:t>
            </w:r>
          </w:p>
        </w:tc>
        <w:tc>
          <w:tcPr>
            <w:tcW w:w="2694" w:type="dxa"/>
            <w:tcBorders>
              <w:top w:val="outset" w:color="AAAAAA" w:sz="6" w:space="0"/>
              <w:left w:val="outset" w:color="AAAAAA" w:sz="6" w:space="0"/>
              <w:bottom w:val="outset" w:color="AAAAAA" w:sz="6" w:space="0"/>
              <w:right w:val="outset" w:color="AAAAAA" w:sz="6" w:space="0"/>
            </w:tcBorders>
            <w:shd w:val="clear" w:color="auto" w:fill="auto"/>
            <w:vAlign w:val="center"/>
          </w:tcPr>
          <w:p w14:paraId="69C471DA">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详见招标文件</w:t>
            </w:r>
          </w:p>
        </w:tc>
        <w:tc>
          <w:tcPr>
            <w:tcW w:w="1417" w:type="dxa"/>
            <w:tcBorders>
              <w:top w:val="outset" w:color="AAAAAA" w:sz="6" w:space="0"/>
              <w:left w:val="outset" w:color="AAAAAA" w:sz="6" w:space="0"/>
              <w:bottom w:val="outset" w:color="AAAAAA" w:sz="6" w:space="0"/>
              <w:right w:val="outset" w:color="AAAAAA" w:sz="6" w:space="0"/>
            </w:tcBorders>
            <w:shd w:val="clear" w:color="auto" w:fill="auto"/>
            <w:vAlign w:val="center"/>
          </w:tcPr>
          <w:p w14:paraId="70BC0965">
            <w:pPr>
              <w:widowControl/>
              <w:spacing w:line="360" w:lineRule="exact"/>
              <w:jc w:val="center"/>
              <w:rPr>
                <w:rFonts w:hint="eastAsia" w:ascii="宋体" w:hAnsi="宋体" w:eastAsia="宋体" w:cs="宋体"/>
                <w:sz w:val="21"/>
                <w:szCs w:val="21"/>
              </w:rPr>
            </w:pPr>
            <w:r>
              <w:rPr>
                <w:rFonts w:hint="eastAsia" w:ascii="宋体" w:hAnsi="宋体" w:eastAsia="宋体" w:cs="宋体"/>
                <w:sz w:val="21"/>
                <w:szCs w:val="21"/>
              </w:rPr>
              <w:t>无</w:t>
            </w:r>
          </w:p>
        </w:tc>
      </w:tr>
    </w:tbl>
    <w:p w14:paraId="593C369B">
      <w:pPr>
        <w:widowControl/>
        <w:spacing w:line="360" w:lineRule="exact"/>
        <w:ind w:firstLine="424" w:firstLineChars="202"/>
        <w:rPr>
          <w:rFonts w:ascii="宋体" w:hAnsi="宋体"/>
          <w:szCs w:val="21"/>
        </w:rPr>
      </w:pPr>
      <w:r>
        <w:rPr>
          <w:rFonts w:ascii="宋体" w:hAnsi="宋体"/>
          <w:szCs w:val="21"/>
        </w:rPr>
        <w:t>6</w:t>
      </w:r>
      <w:r>
        <w:rPr>
          <w:rFonts w:hint="eastAsia" w:ascii="宋体" w:hAnsi="宋体"/>
          <w:szCs w:val="21"/>
        </w:rPr>
        <w:t>、</w:t>
      </w:r>
      <w:r>
        <w:rPr>
          <w:rFonts w:ascii="宋体" w:hAnsi="宋体"/>
          <w:szCs w:val="21"/>
        </w:rPr>
        <w:t>合同履行期限：</w:t>
      </w:r>
      <w:r>
        <w:rPr>
          <w:rFonts w:hint="eastAsia" w:asciiTheme="minorEastAsia" w:hAnsiTheme="minorEastAsia" w:eastAsiaTheme="minorEastAsia"/>
          <w:szCs w:val="21"/>
        </w:rPr>
        <w:t>详见招标文件</w:t>
      </w:r>
    </w:p>
    <w:p w14:paraId="12D7955D">
      <w:pPr>
        <w:widowControl/>
        <w:spacing w:line="360" w:lineRule="exact"/>
        <w:ind w:firstLine="424" w:firstLineChars="202"/>
        <w:rPr>
          <w:rFonts w:ascii="宋体" w:hAnsi="宋体"/>
          <w:szCs w:val="21"/>
        </w:rPr>
      </w:pPr>
      <w:r>
        <w:rPr>
          <w:rFonts w:ascii="宋体" w:hAnsi="宋体"/>
          <w:szCs w:val="21"/>
        </w:rPr>
        <w:t>7</w:t>
      </w:r>
      <w:r>
        <w:rPr>
          <w:rFonts w:hint="eastAsia" w:ascii="宋体" w:hAnsi="宋体"/>
          <w:szCs w:val="21"/>
        </w:rPr>
        <w:t>、本项目（是/否）接受联合体投标：详见“申请人的资格要求”</w:t>
      </w:r>
    </w:p>
    <w:p w14:paraId="397E0883">
      <w:pPr>
        <w:widowControl/>
        <w:spacing w:line="360" w:lineRule="exact"/>
        <w:rPr>
          <w:rFonts w:ascii="宋体" w:hAnsi="宋体"/>
          <w:szCs w:val="21"/>
        </w:rPr>
      </w:pPr>
    </w:p>
    <w:p w14:paraId="41D459DB">
      <w:pPr>
        <w:widowControl/>
        <w:spacing w:line="360" w:lineRule="exact"/>
        <w:rPr>
          <w:rFonts w:ascii="宋体" w:hAnsi="宋体"/>
          <w:szCs w:val="24"/>
        </w:rPr>
      </w:pPr>
      <w:r>
        <w:rPr>
          <w:rFonts w:ascii="宋体" w:hAnsi="宋体"/>
          <w:szCs w:val="24"/>
        </w:rPr>
        <w:t>二、申请人的资格要求：</w:t>
      </w:r>
    </w:p>
    <w:p w14:paraId="1B98BCCB">
      <w:pPr>
        <w:spacing w:line="360" w:lineRule="exact"/>
        <w:ind w:firstLine="424" w:firstLineChars="202"/>
        <w:rPr>
          <w:rFonts w:asciiTheme="minorEastAsia" w:hAnsiTheme="minorEastAsia" w:eastAsiaTheme="minorEastAsia"/>
          <w:szCs w:val="24"/>
        </w:rPr>
      </w:pPr>
      <w:r>
        <w:rPr>
          <w:rFonts w:asciiTheme="minorEastAsia" w:hAnsiTheme="minorEastAsia" w:eastAsiaTheme="minorEastAsia"/>
          <w:szCs w:val="24"/>
        </w:rPr>
        <w:t>1</w:t>
      </w:r>
      <w:r>
        <w:rPr>
          <w:rFonts w:hint="eastAsia" w:asciiTheme="minorEastAsia" w:hAnsiTheme="minorEastAsia" w:eastAsiaTheme="minorEastAsia"/>
          <w:szCs w:val="24"/>
        </w:rPr>
        <w:t>、</w:t>
      </w:r>
      <w:r>
        <w:rPr>
          <w:rFonts w:asciiTheme="minorEastAsia" w:hAnsiTheme="minorEastAsia" w:eastAsiaTheme="minorEastAsia"/>
          <w:szCs w:val="24"/>
        </w:rPr>
        <w:t>满足《中华人民共和国政府采购法》第二十二条规定</w:t>
      </w:r>
      <w:r>
        <w:rPr>
          <w:rFonts w:hint="eastAsia" w:asciiTheme="minorEastAsia" w:hAnsiTheme="minorEastAsia" w:eastAsiaTheme="minorEastAsia"/>
          <w:snapToGrid w:val="0"/>
          <w:szCs w:val="24"/>
        </w:rPr>
        <w:t>（须提供具有独立承担民事责任能力的法人或其他组织的营业执照或法人证书等证明材料扫描件以及《</w:t>
      </w:r>
      <w:r>
        <w:rPr>
          <w:rFonts w:hint="eastAsia" w:asciiTheme="minorEastAsia" w:hAnsiTheme="minorEastAsia" w:eastAsiaTheme="minorEastAsia"/>
          <w:szCs w:val="24"/>
        </w:rPr>
        <w:t>政府采购投标及履约承诺函</w:t>
      </w:r>
      <w:r>
        <w:rPr>
          <w:rFonts w:hint="eastAsia" w:asciiTheme="minorEastAsia" w:hAnsiTheme="minorEastAsia" w:eastAsiaTheme="minorEastAsia"/>
          <w:snapToGrid w:val="0"/>
          <w:szCs w:val="24"/>
        </w:rPr>
        <w:t>》）</w:t>
      </w:r>
      <w:r>
        <w:rPr>
          <w:rFonts w:hint="eastAsia" w:asciiTheme="minorEastAsia" w:hAnsiTheme="minorEastAsia" w:eastAsiaTheme="minorEastAsia"/>
          <w:snapToGrid w:val="0"/>
        </w:rPr>
        <w:t>。如果是分支机构参与投标，还须同时提供其具有独立法人资格的上级主体出具的</w:t>
      </w:r>
      <w:r>
        <w:rPr>
          <w:rFonts w:hint="eastAsia" w:ascii="宋体" w:hAnsi="宋体"/>
          <w:snapToGrid w:val="0"/>
        </w:rPr>
        <w:t>有效授权书及</w:t>
      </w:r>
      <w:r>
        <w:rPr>
          <w:rFonts w:hint="eastAsia" w:asciiTheme="minorEastAsia" w:hAnsiTheme="minorEastAsia" w:eastAsiaTheme="minorEastAsia"/>
          <w:snapToGrid w:val="0"/>
        </w:rPr>
        <w:t>上级主体的</w:t>
      </w:r>
      <w:r>
        <w:rPr>
          <w:rFonts w:hint="eastAsia" w:ascii="宋体" w:hAnsi="宋体"/>
          <w:snapToGrid w:val="0"/>
        </w:rPr>
        <w:t>营业执照或法人证书等证明材料扫描件</w:t>
      </w:r>
      <w:r>
        <w:rPr>
          <w:rFonts w:hint="eastAsia" w:asciiTheme="minorEastAsia" w:hAnsiTheme="minorEastAsia" w:eastAsiaTheme="minorEastAsia"/>
          <w:snapToGrid w:val="0"/>
        </w:rPr>
        <w:t>；</w:t>
      </w:r>
      <w:r>
        <w:rPr>
          <w:rFonts w:hint="eastAsia" w:ascii="宋体" w:hAnsi="宋体"/>
          <w:snapToGrid w:val="0"/>
        </w:rPr>
        <w:t>本项目不接受总公司与分支机构同时参与投标，也不接受同一总公司有两个或以上分支机构参与投标，如出现以上情形，该两家或以上投标人均按无效投标处理</w:t>
      </w:r>
      <w:r>
        <w:rPr>
          <w:rFonts w:hint="eastAsia" w:asciiTheme="minorEastAsia" w:hAnsiTheme="minorEastAsia" w:eastAsiaTheme="minorEastAsia"/>
          <w:szCs w:val="24"/>
        </w:rPr>
        <w:t>。</w:t>
      </w:r>
    </w:p>
    <w:p w14:paraId="5D58AB2E">
      <w:pPr>
        <w:spacing w:line="360" w:lineRule="exact"/>
        <w:ind w:firstLine="424" w:firstLineChars="202"/>
        <w:rPr>
          <w:rFonts w:asciiTheme="minorEastAsia" w:hAnsiTheme="minorEastAsia" w:eastAsiaTheme="minorEastAsia"/>
          <w:szCs w:val="24"/>
        </w:rPr>
      </w:pPr>
      <w:r>
        <w:rPr>
          <w:rFonts w:asciiTheme="minorEastAsia" w:hAnsiTheme="minorEastAsia" w:eastAsiaTheme="minorEastAsia"/>
          <w:szCs w:val="24"/>
        </w:rPr>
        <w:t>2</w:t>
      </w:r>
      <w:r>
        <w:rPr>
          <w:rFonts w:hint="eastAsia" w:asciiTheme="minorEastAsia" w:hAnsiTheme="minorEastAsia" w:eastAsiaTheme="minorEastAsia"/>
          <w:szCs w:val="24"/>
        </w:rPr>
        <w:t>、</w:t>
      </w:r>
      <w:r>
        <w:rPr>
          <w:rFonts w:asciiTheme="minorEastAsia" w:hAnsiTheme="minorEastAsia" w:eastAsiaTheme="minorEastAsia"/>
          <w:szCs w:val="24"/>
        </w:rPr>
        <w:t>落实政府采购政策需满足的资格要求：</w:t>
      </w:r>
      <w:r>
        <w:rPr>
          <w:rFonts w:hint="eastAsia" w:ascii="宋体" w:hAnsi="宋体"/>
          <w:snapToGrid w:val="0"/>
          <w:color w:val="auto"/>
          <w:lang w:val="en-US" w:eastAsia="zh-CN"/>
        </w:rPr>
        <w:t>无。</w:t>
      </w:r>
      <w:r>
        <w:rPr>
          <w:rFonts w:asciiTheme="minorEastAsia" w:hAnsiTheme="minorEastAsia" w:eastAsiaTheme="minorEastAsia"/>
          <w:szCs w:val="24"/>
        </w:rPr>
        <w:t xml:space="preserve"> </w:t>
      </w:r>
    </w:p>
    <w:p w14:paraId="68ABB2FA">
      <w:pPr>
        <w:spacing w:line="360" w:lineRule="exact"/>
        <w:ind w:firstLine="424" w:firstLineChars="202"/>
        <w:rPr>
          <w:rFonts w:asciiTheme="minorEastAsia" w:hAnsiTheme="minorEastAsia" w:eastAsiaTheme="minorEastAsia"/>
          <w:szCs w:val="24"/>
        </w:rPr>
      </w:pPr>
      <w:r>
        <w:rPr>
          <w:rFonts w:asciiTheme="minorEastAsia" w:hAnsiTheme="minorEastAsia" w:eastAsiaTheme="minorEastAsia"/>
          <w:szCs w:val="24"/>
        </w:rPr>
        <w:t>3</w:t>
      </w:r>
      <w:r>
        <w:rPr>
          <w:rFonts w:hint="eastAsia" w:asciiTheme="minorEastAsia" w:hAnsiTheme="minorEastAsia" w:eastAsiaTheme="minorEastAsia"/>
          <w:szCs w:val="24"/>
        </w:rPr>
        <w:t>、</w:t>
      </w:r>
      <w:r>
        <w:rPr>
          <w:rFonts w:asciiTheme="minorEastAsia" w:hAnsiTheme="minorEastAsia" w:eastAsiaTheme="minorEastAsia"/>
          <w:szCs w:val="24"/>
        </w:rPr>
        <w:t>本项目的特定资格要求：</w:t>
      </w:r>
    </w:p>
    <w:p w14:paraId="79848861">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（1）</w:t>
      </w:r>
      <w:r>
        <w:rPr>
          <w:rFonts w:hint="eastAsia" w:asciiTheme="minorEastAsia" w:hAnsiTheme="minorEastAsia" w:eastAsiaTheme="minorEastAsia"/>
          <w:snapToGrid w:val="0"/>
          <w:szCs w:val="24"/>
        </w:rPr>
        <w:t>参与本项目采购活动前三年内，在经营活动中没有重大违法记录</w:t>
      </w:r>
      <w:r>
        <w:rPr>
          <w:rFonts w:hint="eastAsia" w:asciiTheme="minorEastAsia" w:hAnsiTheme="minorEastAsia" w:eastAsiaTheme="minorEastAsia"/>
          <w:szCs w:val="24"/>
        </w:rPr>
        <w:t>（须按本项目投标文件格式要求提供《政府采购投标及履约承诺函》）；</w:t>
      </w:r>
    </w:p>
    <w:p w14:paraId="2363ADA4">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（2）</w:t>
      </w:r>
      <w:r>
        <w:rPr>
          <w:rFonts w:hint="eastAsia" w:asciiTheme="minorEastAsia" w:hAnsiTheme="minorEastAsia" w:eastAsiaTheme="minorEastAsia"/>
          <w:snapToGrid w:val="0"/>
          <w:szCs w:val="24"/>
        </w:rPr>
        <w:t>参与本项目政府采购活动时不存在被有关部门禁止参与政府采购活动且在有效期内的情况</w:t>
      </w:r>
      <w:r>
        <w:rPr>
          <w:rFonts w:hint="eastAsia" w:asciiTheme="minorEastAsia" w:hAnsiTheme="minorEastAsia" w:eastAsiaTheme="minorEastAsia"/>
          <w:szCs w:val="24"/>
        </w:rPr>
        <w:t>（须按本项目投标文件格式要求提供《政府采购投标及履约承诺函》）；</w:t>
      </w:r>
    </w:p>
    <w:p w14:paraId="5AF9019F">
      <w:pPr>
        <w:spacing w:line="360" w:lineRule="exact"/>
        <w:ind w:firstLine="424" w:firstLineChars="202"/>
        <w:jc w:val="left"/>
        <w:rPr>
          <w:rFonts w:asciiTheme="minorEastAsia" w:hAnsiTheme="minorEastAsia" w:eastAsiaTheme="minorEastAsia"/>
          <w:szCs w:val="24"/>
        </w:rPr>
      </w:pPr>
      <w:r>
        <w:rPr>
          <w:rFonts w:hint="eastAsia" w:asciiTheme="minorEastAsia" w:hAnsiTheme="minorEastAsia" w:eastAsiaTheme="minorEastAsia"/>
          <w:szCs w:val="24"/>
        </w:rPr>
        <w:t>（3）</w:t>
      </w:r>
      <w:r>
        <w:rPr>
          <w:rFonts w:hint="eastAsia" w:asciiTheme="minorEastAsia" w:hAnsiTheme="minorEastAsia" w:eastAsiaTheme="minorEastAsia"/>
          <w:snapToGrid w:val="0"/>
          <w:szCs w:val="24"/>
        </w:rPr>
        <w:t>单位负责人为同一人或者存在直接控股、管理关系的不同供应商，不得参加同一合同项下</w:t>
      </w:r>
      <w:r>
        <w:rPr>
          <w:rFonts w:hint="eastAsia" w:asciiTheme="minorEastAsia" w:hAnsiTheme="minorEastAsia" w:eastAsiaTheme="minorEastAsia"/>
          <w:szCs w:val="24"/>
        </w:rPr>
        <w:t>的政府采购活动</w:t>
      </w:r>
      <w:r>
        <w:rPr>
          <w:rFonts w:hint="eastAsia" w:asciiTheme="minorEastAsia" w:hAnsiTheme="minorEastAsia" w:eastAsiaTheme="minorEastAsia"/>
          <w:snapToGrid w:val="0"/>
        </w:rPr>
        <w:t>，不存在《深圳市财政局政府采购供应商信用信息管理办法》（深财规〔2023〕3号）列明的严重违法失信行为</w:t>
      </w:r>
      <w:r>
        <w:rPr>
          <w:rFonts w:hint="eastAsia" w:asciiTheme="minorEastAsia" w:hAnsiTheme="minorEastAsia" w:eastAsiaTheme="minorEastAsia"/>
          <w:szCs w:val="24"/>
        </w:rPr>
        <w:t>（须按本项目投标文件格式要求提供《政府采购投标及履约承诺函》）；</w:t>
      </w:r>
    </w:p>
    <w:p w14:paraId="6C3C5FB0">
      <w:pPr>
        <w:spacing w:line="360" w:lineRule="exact"/>
        <w:ind w:firstLine="424" w:firstLineChars="202"/>
        <w:jc w:val="left"/>
        <w:rPr>
          <w:rFonts w:asciiTheme="minorEastAsia" w:hAnsiTheme="minorEastAsia" w:eastAsiaTheme="minorEastAsia"/>
          <w:szCs w:val="24"/>
        </w:rPr>
      </w:pPr>
      <w:r>
        <w:rPr>
          <w:rFonts w:hint="eastAsia" w:asciiTheme="minorEastAsia" w:hAnsiTheme="minorEastAsia" w:eastAsiaTheme="minorEastAsia"/>
          <w:szCs w:val="24"/>
        </w:rPr>
        <w:t>（4）</w:t>
      </w:r>
      <w:r>
        <w:rPr>
          <w:rFonts w:hint="eastAsia" w:asciiTheme="minorEastAsia" w:hAnsiTheme="minorEastAsia" w:eastAsiaTheme="minorEastAsia"/>
          <w:snapToGrid w:val="0"/>
          <w:szCs w:val="24"/>
        </w:rPr>
        <w:t>除单一来源采购项目外，为采购项目提供整体设计、规范编制或者项目管理、监理、检测等</w:t>
      </w:r>
      <w:r>
        <w:rPr>
          <w:rFonts w:hint="eastAsia" w:asciiTheme="minorEastAsia" w:hAnsiTheme="minorEastAsia" w:eastAsiaTheme="minorEastAsia"/>
          <w:szCs w:val="24"/>
        </w:rPr>
        <w:t>服务的供应商，不得再参加该采购项目的其他采购活动（须按本项目投标文件格式要求提供《政府采购投标及履约承诺函》）；</w:t>
      </w:r>
    </w:p>
    <w:p w14:paraId="4A51221B">
      <w:pPr>
        <w:spacing w:line="360" w:lineRule="exact"/>
        <w:ind w:firstLine="424" w:firstLineChars="202"/>
        <w:jc w:val="left"/>
        <w:rPr>
          <w:rFonts w:asciiTheme="minorEastAsia" w:hAnsiTheme="minorEastAsia" w:eastAsiaTheme="minorEastAsia"/>
          <w:szCs w:val="24"/>
        </w:rPr>
      </w:pPr>
      <w:r>
        <w:rPr>
          <w:rFonts w:hint="eastAsia" w:asciiTheme="minorEastAsia" w:hAnsiTheme="minorEastAsia" w:eastAsiaTheme="minorEastAsia"/>
          <w:szCs w:val="24"/>
        </w:rPr>
        <w:t>（5）参与本项目政府采购活动不存在与其他采购参加人串通投标，隐瞒真实情况，提供虚假资料等违法违规情形（须按本项目投标文件格式要求提供《政府采购投标及履约承诺函》）；</w:t>
      </w:r>
    </w:p>
    <w:p w14:paraId="5E68660C">
      <w:pPr>
        <w:spacing w:line="360" w:lineRule="exact"/>
        <w:ind w:firstLine="424" w:firstLineChars="202"/>
        <w:jc w:val="left"/>
        <w:rPr>
          <w:rFonts w:asciiTheme="minorEastAsia" w:hAnsiTheme="minorEastAsia" w:eastAsiaTheme="minorEastAsia"/>
          <w:szCs w:val="24"/>
        </w:rPr>
      </w:pPr>
      <w:r>
        <w:rPr>
          <w:rFonts w:hint="eastAsia" w:asciiTheme="minorEastAsia" w:hAnsiTheme="minorEastAsia" w:eastAsiaTheme="minorEastAsia"/>
          <w:szCs w:val="24"/>
        </w:rPr>
        <w:t>（6）未被列入失信被执行人、重大税收违法案件当事人名单及政府采购严重违法失信行为记录名单（</w:t>
      </w:r>
      <w:r>
        <w:rPr>
          <w:rFonts w:hint="eastAsia" w:asciiTheme="minorEastAsia" w:hAnsiTheme="minorEastAsia" w:eastAsiaTheme="minorEastAsia"/>
          <w:snapToGrid w:val="0"/>
        </w:rPr>
        <w:t>信用中国网“信用服务”栏的“重大税收违法失信主体”、“失信被执行人”，中国政府采购网“政府采购严重违法失信行为记录名单”，深圳信用网以及深圳市政府采购监管网</w:t>
      </w:r>
      <w:r>
        <w:rPr>
          <w:rFonts w:hint="eastAsia" w:asciiTheme="minorEastAsia" w:hAnsiTheme="minorEastAsia" w:eastAsiaTheme="minorEastAsia"/>
          <w:szCs w:val="24"/>
        </w:rPr>
        <w:t>为供应商信用信息查询渠道，相关信息以开标当日的查询结果为准。由采购代理机构查询，供应商无需提供证明材料）；</w:t>
      </w:r>
    </w:p>
    <w:p w14:paraId="1F38A2FB">
      <w:pPr>
        <w:widowControl/>
        <w:adjustRightInd w:val="0"/>
        <w:snapToGrid w:val="0"/>
        <w:spacing w:line="360" w:lineRule="exact"/>
        <w:ind w:firstLine="424" w:firstLineChars="202"/>
        <w:jc w:val="left"/>
        <w:rPr>
          <w:rFonts w:hint="eastAsia" w:cs="Arial Unicode MS" w:asciiTheme="minorEastAsia" w:hAnsiTheme="minorEastAsia" w:eastAsiaTheme="minorEastAsia"/>
          <w:snapToGrid w:val="0"/>
          <w:kern w:val="0"/>
          <w:szCs w:val="18"/>
          <w:lang w:eastAsia="zh-CN"/>
        </w:rPr>
      </w:pPr>
      <w:r>
        <w:rPr>
          <w:rFonts w:hint="eastAsia" w:cs="Arial Unicode MS" w:asciiTheme="minorEastAsia" w:hAnsiTheme="minorEastAsia" w:eastAsiaTheme="minorEastAsia"/>
          <w:snapToGrid w:val="0"/>
          <w:kern w:val="0"/>
          <w:szCs w:val="18"/>
        </w:rPr>
        <w:t>（7）本项目不接受联合体投标，不允许非法分包或转包</w:t>
      </w:r>
      <w:r>
        <w:rPr>
          <w:rFonts w:hint="eastAsia" w:cs="Arial Unicode MS" w:asciiTheme="minorEastAsia" w:hAnsiTheme="minorEastAsia" w:eastAsiaTheme="minorEastAsia"/>
          <w:snapToGrid w:val="0"/>
          <w:kern w:val="0"/>
          <w:szCs w:val="18"/>
          <w:lang w:eastAsia="zh-CN"/>
        </w:rPr>
        <w:t>。</w:t>
      </w:r>
    </w:p>
    <w:p w14:paraId="09ED38DA">
      <w:pPr>
        <w:widowControl/>
        <w:adjustRightInd w:val="0"/>
        <w:snapToGrid w:val="0"/>
        <w:spacing w:line="360" w:lineRule="exact"/>
        <w:ind w:firstLine="424" w:firstLineChars="202"/>
        <w:jc w:val="left"/>
        <w:rPr>
          <w:rFonts w:cs="Arial Unicode MS" w:asciiTheme="minorEastAsia" w:hAnsiTheme="minorEastAsia" w:eastAsiaTheme="minorEastAsia"/>
          <w:snapToGrid w:val="0"/>
          <w:kern w:val="0"/>
          <w:szCs w:val="18"/>
        </w:rPr>
      </w:pPr>
      <w:r>
        <w:rPr>
          <w:rFonts w:hint="eastAsia" w:cs="Arial Unicode MS" w:asciiTheme="minorEastAsia" w:hAnsiTheme="minorEastAsia" w:eastAsiaTheme="minorEastAsia"/>
          <w:snapToGrid w:val="0"/>
          <w:kern w:val="0"/>
          <w:szCs w:val="18"/>
        </w:rPr>
        <w:t>注：供应商投标（上传投标文件）必须先行办理注册手续，具体请按照本公告“三、获取招标文件”相关内容指引办理。</w:t>
      </w:r>
    </w:p>
    <w:p w14:paraId="53D351A6">
      <w:pPr>
        <w:widowControl/>
        <w:spacing w:line="360" w:lineRule="exact"/>
        <w:rPr>
          <w:rFonts w:ascii="宋体" w:hAnsi="宋体"/>
          <w:szCs w:val="24"/>
        </w:rPr>
      </w:pPr>
    </w:p>
    <w:p w14:paraId="61211C29">
      <w:pPr>
        <w:widowControl/>
        <w:spacing w:line="360" w:lineRule="exact"/>
        <w:rPr>
          <w:rFonts w:ascii="宋体" w:hAnsi="宋体"/>
          <w:szCs w:val="24"/>
        </w:rPr>
      </w:pPr>
      <w:r>
        <w:rPr>
          <w:rFonts w:ascii="宋体" w:hAnsi="宋体"/>
          <w:szCs w:val="24"/>
        </w:rPr>
        <w:t>三、获取招标文件</w:t>
      </w:r>
    </w:p>
    <w:p w14:paraId="20B1C7CD">
      <w:pPr>
        <w:widowControl/>
        <w:spacing w:line="360" w:lineRule="exact"/>
        <w:ind w:firstLine="420" w:firstLineChars="200"/>
        <w:rPr>
          <w:rFonts w:ascii="宋体" w:hAnsi="宋体"/>
          <w:szCs w:val="24"/>
        </w:rPr>
      </w:pPr>
      <w:r>
        <w:rPr>
          <w:rFonts w:hint="eastAsia" w:ascii="宋体" w:hAnsi="宋体"/>
          <w:szCs w:val="24"/>
        </w:rPr>
        <w:t>1、</w:t>
      </w:r>
      <w:r>
        <w:rPr>
          <w:rFonts w:ascii="宋体" w:hAnsi="宋体"/>
          <w:szCs w:val="24"/>
        </w:rPr>
        <w:t>时间：</w:t>
      </w:r>
      <w:r>
        <w:rPr>
          <w:rFonts w:hint="eastAsia" w:ascii="宋体" w:hAnsi="宋体"/>
          <w:b/>
          <w:szCs w:val="24"/>
          <w:u w:val="single"/>
        </w:rPr>
        <w:t>2024年</w:t>
      </w:r>
      <w:r>
        <w:rPr>
          <w:rFonts w:hint="eastAsia" w:ascii="宋体" w:hAnsi="宋体"/>
          <w:b/>
          <w:szCs w:val="24"/>
          <w:u w:val="single"/>
          <w:lang w:val="en-US" w:eastAsia="zh-CN"/>
        </w:rPr>
        <w:t>11</w:t>
      </w:r>
      <w:r>
        <w:rPr>
          <w:rFonts w:hint="eastAsia" w:ascii="宋体" w:hAnsi="宋体"/>
          <w:b/>
          <w:szCs w:val="24"/>
          <w:u w:val="single"/>
        </w:rPr>
        <w:t>月</w:t>
      </w:r>
      <w:r>
        <w:rPr>
          <w:rFonts w:hint="eastAsia" w:ascii="宋体" w:hAnsi="宋体"/>
          <w:b/>
          <w:szCs w:val="24"/>
          <w:u w:val="single"/>
          <w:lang w:val="en-US" w:eastAsia="zh-CN"/>
        </w:rPr>
        <w:t>18</w:t>
      </w:r>
      <w:r>
        <w:rPr>
          <w:rFonts w:hint="eastAsia" w:ascii="宋体" w:hAnsi="宋体"/>
          <w:b/>
          <w:szCs w:val="24"/>
          <w:u w:val="single"/>
        </w:rPr>
        <w:t>日至2024年</w:t>
      </w:r>
      <w:r>
        <w:rPr>
          <w:rFonts w:hint="eastAsia" w:ascii="宋体" w:hAnsi="宋体"/>
          <w:b/>
          <w:szCs w:val="24"/>
          <w:u w:val="single"/>
          <w:lang w:val="en-US" w:eastAsia="zh-CN"/>
        </w:rPr>
        <w:t>11</w:t>
      </w:r>
      <w:r>
        <w:rPr>
          <w:rFonts w:hint="eastAsia" w:ascii="宋体" w:hAnsi="宋体"/>
          <w:b/>
          <w:szCs w:val="24"/>
          <w:u w:val="single"/>
        </w:rPr>
        <w:t>月</w:t>
      </w:r>
      <w:r>
        <w:rPr>
          <w:rFonts w:hint="eastAsia" w:ascii="宋体" w:hAnsi="宋体"/>
          <w:b/>
          <w:szCs w:val="24"/>
          <w:u w:val="single"/>
          <w:lang w:val="en-US" w:eastAsia="zh-CN"/>
        </w:rPr>
        <w:t>29</w:t>
      </w:r>
      <w:r>
        <w:rPr>
          <w:rFonts w:hint="eastAsia" w:ascii="宋体" w:hAnsi="宋体"/>
          <w:b/>
          <w:szCs w:val="24"/>
          <w:u w:val="single"/>
        </w:rPr>
        <w:t>日</w:t>
      </w:r>
      <w:r>
        <w:rPr>
          <w:rFonts w:ascii="宋体" w:hAnsi="宋体"/>
          <w:b/>
          <w:szCs w:val="24"/>
          <w:u w:val="single"/>
        </w:rPr>
        <w:t>14:00</w:t>
      </w:r>
      <w:r>
        <w:rPr>
          <w:rFonts w:hint="eastAsia" w:ascii="宋体" w:hAnsi="宋体"/>
          <w:b/>
          <w:szCs w:val="24"/>
          <w:u w:val="single"/>
        </w:rPr>
        <w:t>，每天上午0:00至12:00，下午12:00至24:00（北京时间，法定节假日除外）</w:t>
      </w:r>
      <w:r>
        <w:rPr>
          <w:rFonts w:hint="eastAsia" w:ascii="宋体" w:hAnsi="宋体"/>
          <w:szCs w:val="24"/>
        </w:rPr>
        <w:t>。</w:t>
      </w:r>
      <w:r>
        <w:rPr>
          <w:rFonts w:ascii="宋体" w:hAnsi="宋体"/>
          <w:szCs w:val="24"/>
        </w:rPr>
        <w:t xml:space="preserve"> </w:t>
      </w:r>
    </w:p>
    <w:p w14:paraId="67FE876F">
      <w:pPr>
        <w:spacing w:line="360" w:lineRule="exact"/>
        <w:ind w:firstLine="420" w:firstLineChars="200"/>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地点：</w:t>
      </w:r>
      <w:r>
        <w:rPr>
          <w:rFonts w:hint="eastAsia" w:asciiTheme="minorEastAsia" w:hAnsiTheme="minorEastAsia" w:eastAsiaTheme="minorEastAsia"/>
          <w:szCs w:val="24"/>
        </w:rPr>
        <w:t>登录深圳政府采购智慧平台（http://zfcg.szggzy.com:8081/）下载本项目的招标文件</w:t>
      </w:r>
      <w:r>
        <w:rPr>
          <w:rFonts w:asciiTheme="minorEastAsia" w:hAnsiTheme="minorEastAsia" w:eastAsiaTheme="minorEastAsia"/>
          <w:szCs w:val="24"/>
        </w:rPr>
        <w:t xml:space="preserve">。 </w:t>
      </w:r>
    </w:p>
    <w:p w14:paraId="64FE186C">
      <w:pPr>
        <w:spacing w:line="360" w:lineRule="exact"/>
        <w:ind w:firstLine="420" w:firstLineChars="200"/>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 xml:space="preserve">方式：在线下载。 </w:t>
      </w:r>
    </w:p>
    <w:p w14:paraId="77A0EAF7">
      <w:pPr>
        <w:spacing w:line="360" w:lineRule="exact"/>
        <w:ind w:firstLine="420" w:firstLineChars="200"/>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售价：免费。</w:t>
      </w:r>
    </w:p>
    <w:p w14:paraId="46F250BD">
      <w:pPr>
        <w:spacing w:line="360" w:lineRule="exact"/>
        <w:ind w:firstLine="420" w:firstLineChars="200"/>
        <w:rPr>
          <w:rFonts w:asciiTheme="minorEastAsia" w:hAnsiTheme="minorEastAsia" w:eastAsiaTheme="minorEastAsia"/>
          <w:szCs w:val="24"/>
        </w:rPr>
      </w:pPr>
      <w:r>
        <w:rPr>
          <w:rFonts w:hint="eastAsia" w:asciiTheme="minorEastAsia" w:hAnsiTheme="minorEastAsia" w:eastAsiaTheme="minorEastAsia"/>
          <w:szCs w:val="24"/>
        </w:rPr>
        <w:t>凡已注册的深圳市网上政府采购供应商，按照授予的操作权限，可于</w:t>
      </w:r>
      <w:r>
        <w:rPr>
          <w:rFonts w:hint="eastAsia" w:ascii="宋体" w:hAnsi="宋体"/>
          <w:b/>
          <w:szCs w:val="24"/>
          <w:u w:val="single"/>
        </w:rPr>
        <w:t>获取招标文件时间内</w:t>
      </w:r>
      <w:r>
        <w:rPr>
          <w:rFonts w:hint="eastAsia" w:asciiTheme="minorEastAsia" w:hAnsiTheme="minorEastAsia" w:eastAsiaTheme="minorEastAsia"/>
          <w:szCs w:val="24"/>
        </w:rPr>
        <w:t>登录深圳政府采购智慧平台（http://zfcg.szggzy.com:8081/）下载本项目的采购文件。投标人如确定参加投标，首先要在深圳政府采购智慧平台网上办事子系统（http://zfcg.szggzy.com:8081/TPBidder/memberLogin）网上报名投标，方法为登陆网上办事子系统后点击“【招标公告】→【我要报名】”；如果网上报名后上传了投标文件，又不参加投标，应再到【我的项目】→【项目流程】→【递交投标(应答)文件】功能点中进行“【撤回本次投标】”操作；如果是未注册为深圳政府采购智慧平台（http://zfcg.szggzy.com:8081/）的供应商，请先办理密钥（</w:t>
      </w:r>
      <w:r>
        <w:fldChar w:fldCharType="begin"/>
      </w:r>
      <w:r>
        <w:instrText xml:space="preserve"> HYPERLINK "http://zfcg.szggzy.com:8081/TPBidder/CAHandle" </w:instrText>
      </w:r>
      <w:r>
        <w:fldChar w:fldCharType="separate"/>
      </w:r>
      <w:r>
        <w:rPr>
          <w:rFonts w:asciiTheme="minorEastAsia" w:hAnsiTheme="minorEastAsia" w:eastAsiaTheme="minorEastAsia"/>
          <w:color w:val="0000FF"/>
          <w:u w:val="single"/>
        </w:rPr>
        <w:t>请点击</w:t>
      </w:r>
      <w:r>
        <w:rPr>
          <w:rFonts w:asciiTheme="minorEastAsia" w:hAnsiTheme="minorEastAsia" w:eastAsiaTheme="minorEastAsia"/>
          <w:color w:val="0000FF"/>
          <w:u w:val="single"/>
        </w:rPr>
        <w:fldChar w:fldCharType="end"/>
      </w:r>
      <w:r>
        <w:rPr>
          <w:rFonts w:hint="eastAsia" w:asciiTheme="minorEastAsia" w:hAnsiTheme="minorEastAsia" w:eastAsiaTheme="minorEastAsia"/>
          <w:szCs w:val="24"/>
        </w:rPr>
        <w:t>），并前往深圳公共资源交易中心绑定深圳政府采购智慧平台用户（</w:t>
      </w:r>
      <w:r>
        <w:rPr>
          <w:rFonts w:hint="eastAsia" w:ascii="宋体" w:hAnsi="宋体"/>
        </w:rPr>
        <w:t>电子密钥办理咨询电话：0755-83948165、0755-83938966、020-89524338</w:t>
      </w:r>
      <w:r>
        <w:rPr>
          <w:rFonts w:hint="eastAsia" w:asciiTheme="minorEastAsia" w:hAnsiTheme="minorEastAsia" w:eastAsiaTheme="minorEastAsia"/>
          <w:szCs w:val="24"/>
        </w:rPr>
        <w:t>），再进行投标报名。在网上报名后，点击“【我的项目】→【项目流程】→【采购文件下载】”进行招标文件的下载。</w:t>
      </w:r>
    </w:p>
    <w:p w14:paraId="04A00A86">
      <w:pPr>
        <w:widowControl/>
        <w:spacing w:line="360" w:lineRule="exact"/>
        <w:ind w:firstLine="420" w:firstLineChars="200"/>
        <w:rPr>
          <w:rFonts w:ascii="宋体" w:hAnsi="宋体"/>
          <w:szCs w:val="24"/>
        </w:rPr>
      </w:pPr>
    </w:p>
    <w:p w14:paraId="7B7E8AB6">
      <w:pPr>
        <w:widowControl/>
        <w:spacing w:line="360" w:lineRule="exact"/>
        <w:rPr>
          <w:rFonts w:ascii="宋体" w:hAnsi="宋体"/>
          <w:szCs w:val="24"/>
        </w:rPr>
      </w:pPr>
      <w:r>
        <w:rPr>
          <w:rFonts w:ascii="宋体" w:hAnsi="宋体"/>
          <w:szCs w:val="24"/>
        </w:rPr>
        <w:t>四、提交投标文件截止时间、开标时间和地点</w:t>
      </w:r>
    </w:p>
    <w:p w14:paraId="045B7FB7">
      <w:pPr>
        <w:widowControl/>
        <w:spacing w:line="360" w:lineRule="exact"/>
        <w:ind w:firstLine="424" w:firstLineChars="202"/>
        <w:rPr>
          <w:rFonts w:ascii="宋体" w:hAnsi="宋体"/>
          <w:szCs w:val="24"/>
        </w:rPr>
      </w:pPr>
      <w:r>
        <w:rPr>
          <w:rFonts w:hint="eastAsia" w:ascii="宋体" w:hAnsi="宋体"/>
          <w:szCs w:val="24"/>
        </w:rPr>
        <w:t>1、投标截止时间：所有投标文件应于</w:t>
      </w:r>
      <w:r>
        <w:rPr>
          <w:rFonts w:hint="eastAsia" w:ascii="宋体" w:hAnsi="宋体"/>
          <w:b/>
          <w:szCs w:val="24"/>
          <w:u w:val="single"/>
        </w:rPr>
        <w:t>2024年</w:t>
      </w:r>
      <w:r>
        <w:rPr>
          <w:rFonts w:hint="eastAsia" w:ascii="宋体" w:hAnsi="宋体"/>
          <w:b/>
          <w:szCs w:val="24"/>
          <w:u w:val="single"/>
          <w:lang w:val="en-US" w:eastAsia="zh-CN"/>
        </w:rPr>
        <w:t>11</w:t>
      </w:r>
      <w:r>
        <w:rPr>
          <w:rFonts w:hint="eastAsia" w:ascii="宋体" w:hAnsi="宋体"/>
          <w:b/>
          <w:szCs w:val="24"/>
          <w:u w:val="single"/>
        </w:rPr>
        <w:t>月</w:t>
      </w:r>
      <w:r>
        <w:rPr>
          <w:rFonts w:hint="eastAsia" w:ascii="宋体" w:hAnsi="宋体"/>
          <w:b/>
          <w:szCs w:val="24"/>
          <w:u w:val="single"/>
          <w:lang w:val="en-US" w:eastAsia="zh-CN"/>
        </w:rPr>
        <w:t>29</w:t>
      </w:r>
      <w:r>
        <w:rPr>
          <w:rFonts w:hint="eastAsia" w:ascii="宋体" w:hAnsi="宋体"/>
          <w:b/>
          <w:szCs w:val="24"/>
          <w:u w:val="single"/>
        </w:rPr>
        <w:t>日14:00（北京时间）</w:t>
      </w:r>
      <w:r>
        <w:rPr>
          <w:rFonts w:hint="eastAsia" w:ascii="宋体" w:hAnsi="宋体"/>
          <w:szCs w:val="24"/>
        </w:rPr>
        <w:t>之前上传到深圳政府采购智慧平台（http://zfcg.szggzy.com:8081/）。具体操作为登录“深圳政府采购智慧平台用户网上办事子系统（http://zfcg.szggzy.com:8081/TPBidder/memberLogin）”，用“【我的项目】→【项目流程】→【递交投标(应答)文件】”功能点上传投标文件。本项目电子投标文件最大容量为200MB</w:t>
      </w:r>
      <w:r>
        <w:rPr>
          <w:rFonts w:hint="eastAsia" w:ascii="宋体" w:hAnsi="宋体" w:cs="宋体"/>
          <w:szCs w:val="21"/>
        </w:rPr>
        <w:t>，单个节点文件不能超过</w:t>
      </w:r>
      <w:r>
        <w:rPr>
          <w:rFonts w:ascii="宋体" w:hAnsi="宋体" w:cs="宋体"/>
          <w:szCs w:val="21"/>
        </w:rPr>
        <w:t>50M</w:t>
      </w:r>
      <w:r>
        <w:rPr>
          <w:rFonts w:hint="eastAsia" w:ascii="宋体" w:hAnsi="宋体" w:cs="宋体"/>
          <w:szCs w:val="21"/>
        </w:rPr>
        <w:t>B</w:t>
      </w:r>
      <w:r>
        <w:rPr>
          <w:rFonts w:hint="eastAsia" w:ascii="宋体" w:hAnsi="宋体"/>
          <w:szCs w:val="24"/>
        </w:rPr>
        <w:t>，超过此容量的文件将被拒绝。</w:t>
      </w:r>
    </w:p>
    <w:p w14:paraId="1242D360">
      <w:pPr>
        <w:widowControl/>
        <w:spacing w:line="360" w:lineRule="exact"/>
        <w:ind w:firstLine="424" w:firstLineChars="202"/>
        <w:rPr>
          <w:rFonts w:ascii="宋体" w:hAnsi="宋体"/>
          <w:szCs w:val="24"/>
        </w:rPr>
      </w:pPr>
      <w:r>
        <w:rPr>
          <w:rFonts w:hint="eastAsia" w:ascii="宋体" w:hAnsi="宋体"/>
          <w:szCs w:val="24"/>
        </w:rPr>
        <w:t>2、开标时间和地点：定于</w:t>
      </w:r>
      <w:r>
        <w:rPr>
          <w:rFonts w:hint="eastAsia" w:ascii="宋体" w:hAnsi="宋体"/>
          <w:b/>
          <w:szCs w:val="24"/>
          <w:u w:val="single"/>
        </w:rPr>
        <w:t>2024年</w:t>
      </w:r>
      <w:r>
        <w:rPr>
          <w:rFonts w:hint="eastAsia" w:ascii="宋体" w:hAnsi="宋体"/>
          <w:b/>
          <w:szCs w:val="24"/>
          <w:u w:val="single"/>
          <w:lang w:val="en-US" w:eastAsia="zh-CN"/>
        </w:rPr>
        <w:t>11</w:t>
      </w:r>
      <w:r>
        <w:rPr>
          <w:rFonts w:hint="eastAsia" w:ascii="宋体" w:hAnsi="宋体"/>
          <w:b/>
          <w:szCs w:val="24"/>
          <w:u w:val="single"/>
        </w:rPr>
        <w:t>月</w:t>
      </w:r>
      <w:r>
        <w:rPr>
          <w:rFonts w:hint="eastAsia" w:ascii="宋体" w:hAnsi="宋体"/>
          <w:b/>
          <w:szCs w:val="24"/>
          <w:u w:val="single"/>
          <w:lang w:val="en-US" w:eastAsia="zh-CN"/>
        </w:rPr>
        <w:t>29</w:t>
      </w:r>
      <w:r>
        <w:rPr>
          <w:rFonts w:hint="eastAsia" w:ascii="宋体" w:hAnsi="宋体"/>
          <w:b/>
          <w:szCs w:val="24"/>
          <w:u w:val="single"/>
        </w:rPr>
        <w:t>日14:00（北京时间）</w:t>
      </w:r>
      <w:r>
        <w:rPr>
          <w:rFonts w:hint="eastAsia" w:ascii="宋体" w:hAnsi="宋体"/>
          <w:szCs w:val="24"/>
        </w:rPr>
        <w:t>，在深圳市中正招标有限公司公开开标。供应商可以登录“深圳政府采购智慧平台用户网上办事子系统（http://zfcg.szggzy.com:8081/TPBidder/memberLogin）”，在“【我的项目】→【项目流程】→【开标及解密】”进行在线解密、查询开标情况。</w:t>
      </w:r>
    </w:p>
    <w:p w14:paraId="51182AB5">
      <w:pPr>
        <w:widowControl/>
        <w:spacing w:line="360" w:lineRule="exact"/>
        <w:ind w:firstLine="426" w:firstLineChars="202"/>
        <w:rPr>
          <w:rFonts w:ascii="宋体" w:hAnsi="宋体"/>
          <w:szCs w:val="24"/>
        </w:rPr>
      </w:pPr>
      <w:r>
        <w:rPr>
          <w:rFonts w:hint="eastAsia" w:ascii="宋体" w:hAnsi="宋体"/>
          <w:b/>
          <w:szCs w:val="24"/>
        </w:rPr>
        <w:t>3、在线解密：投标人须在</w:t>
      </w:r>
      <w:r>
        <w:rPr>
          <w:rFonts w:hint="eastAsia" w:ascii="宋体" w:hAnsi="宋体"/>
          <w:b/>
          <w:szCs w:val="24"/>
          <w:u w:val="single"/>
        </w:rPr>
        <w:t>2024年</w:t>
      </w:r>
      <w:r>
        <w:rPr>
          <w:rFonts w:hint="eastAsia" w:ascii="宋体" w:hAnsi="宋体"/>
          <w:b/>
          <w:szCs w:val="24"/>
          <w:u w:val="single"/>
          <w:lang w:val="en-US" w:eastAsia="zh-CN"/>
        </w:rPr>
        <w:t>11</w:t>
      </w:r>
      <w:r>
        <w:rPr>
          <w:rFonts w:hint="eastAsia" w:ascii="宋体" w:hAnsi="宋体"/>
          <w:b/>
          <w:szCs w:val="24"/>
          <w:u w:val="single"/>
        </w:rPr>
        <w:t>月</w:t>
      </w:r>
      <w:r>
        <w:rPr>
          <w:rFonts w:hint="eastAsia" w:ascii="宋体" w:hAnsi="宋体"/>
          <w:b/>
          <w:szCs w:val="24"/>
          <w:u w:val="single"/>
          <w:lang w:val="en-US" w:eastAsia="zh-CN"/>
        </w:rPr>
        <w:t>29</w:t>
      </w:r>
      <w:r>
        <w:rPr>
          <w:rFonts w:hint="eastAsia" w:ascii="宋体" w:hAnsi="宋体"/>
          <w:b/>
          <w:szCs w:val="24"/>
          <w:u w:val="single"/>
        </w:rPr>
        <w:t>日14:00-15:00（北京时间）</w:t>
      </w:r>
      <w:r>
        <w:rPr>
          <w:rFonts w:hint="eastAsia" w:ascii="宋体" w:hAnsi="宋体"/>
          <w:b/>
          <w:szCs w:val="24"/>
        </w:rPr>
        <w:t>期间进行解密，逾期未解密的作无效处理。</w:t>
      </w:r>
      <w:r>
        <w:rPr>
          <w:rFonts w:hint="eastAsia" w:ascii="宋体" w:hAnsi="宋体"/>
          <w:szCs w:val="24"/>
        </w:rPr>
        <w:t>解密方法：登录“深圳政府采购智慧平台用户网上办事子系统（http://zfcg.szggzy.com:8081/TPBidder/memberLogin）”，使用本单位制作电子投标文件同一个电子密钥，在“【我的项目】→【项目流程】→【开标及解密】”进行在线解密、查询开标情况。</w:t>
      </w:r>
    </w:p>
    <w:p w14:paraId="3D01E9B3">
      <w:pPr>
        <w:widowControl/>
        <w:spacing w:line="360" w:lineRule="exact"/>
        <w:ind w:left="420" w:leftChars="200"/>
        <w:rPr>
          <w:rFonts w:ascii="宋体" w:hAnsi="宋体"/>
          <w:szCs w:val="24"/>
        </w:rPr>
      </w:pPr>
    </w:p>
    <w:p w14:paraId="508D1EAE">
      <w:pPr>
        <w:widowControl/>
        <w:spacing w:line="360" w:lineRule="exact"/>
        <w:rPr>
          <w:rFonts w:ascii="宋体" w:hAnsi="宋体"/>
          <w:szCs w:val="24"/>
        </w:rPr>
      </w:pPr>
      <w:r>
        <w:rPr>
          <w:rFonts w:ascii="宋体" w:hAnsi="宋体"/>
          <w:szCs w:val="24"/>
        </w:rPr>
        <w:t>五、公告期限</w:t>
      </w:r>
    </w:p>
    <w:p w14:paraId="4B1333C6">
      <w:pPr>
        <w:widowControl/>
        <w:spacing w:line="360" w:lineRule="exact"/>
        <w:ind w:firstLine="420" w:firstLineChars="200"/>
        <w:rPr>
          <w:rFonts w:ascii="宋体" w:hAnsi="宋体"/>
          <w:szCs w:val="24"/>
        </w:rPr>
      </w:pPr>
      <w:r>
        <w:rPr>
          <w:rFonts w:ascii="宋体" w:hAnsi="宋体"/>
          <w:szCs w:val="24"/>
        </w:rPr>
        <w:t>自本公告发布之日起5个工作日。</w:t>
      </w:r>
    </w:p>
    <w:p w14:paraId="482BEE19">
      <w:pPr>
        <w:widowControl/>
        <w:spacing w:line="360" w:lineRule="exact"/>
        <w:ind w:firstLine="420" w:firstLineChars="200"/>
        <w:rPr>
          <w:rFonts w:ascii="宋体" w:hAnsi="宋体"/>
          <w:szCs w:val="24"/>
        </w:rPr>
      </w:pPr>
    </w:p>
    <w:p w14:paraId="5146D1C1">
      <w:pPr>
        <w:widowControl/>
        <w:spacing w:line="360" w:lineRule="exact"/>
        <w:rPr>
          <w:rFonts w:ascii="宋体" w:hAnsi="宋体"/>
          <w:szCs w:val="24"/>
        </w:rPr>
      </w:pPr>
      <w:r>
        <w:rPr>
          <w:rFonts w:ascii="宋体" w:hAnsi="宋体"/>
          <w:szCs w:val="24"/>
        </w:rPr>
        <w:t>六、其他补充事宜</w:t>
      </w:r>
    </w:p>
    <w:p w14:paraId="1179EBC1">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1、本项目实行网上投标，采用电子投标文件。</w:t>
      </w:r>
    </w:p>
    <w:p w14:paraId="7FB9775A">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2、采购文件澄清/修改事项：</w:t>
      </w:r>
      <w:r>
        <w:rPr>
          <w:rFonts w:hint="eastAsia" w:asciiTheme="minorEastAsia" w:hAnsiTheme="minorEastAsia" w:eastAsiaTheme="minorEastAsia"/>
          <w:b/>
          <w:szCs w:val="24"/>
          <w:u w:val="single"/>
        </w:rPr>
        <w:t>2024年</w:t>
      </w:r>
      <w:r>
        <w:rPr>
          <w:rFonts w:hint="eastAsia" w:asciiTheme="minorEastAsia" w:hAnsiTheme="minorEastAsia" w:eastAsiaTheme="minorEastAsia"/>
          <w:b/>
          <w:szCs w:val="24"/>
          <w:u w:val="single"/>
          <w:lang w:val="en-US" w:eastAsia="zh-CN"/>
        </w:rPr>
        <w:t>11</w:t>
      </w:r>
      <w:r>
        <w:rPr>
          <w:rFonts w:hint="eastAsia" w:asciiTheme="minorEastAsia" w:hAnsiTheme="minorEastAsia" w:eastAsiaTheme="minorEastAsia"/>
          <w:b/>
          <w:szCs w:val="24"/>
          <w:u w:val="single"/>
        </w:rPr>
        <w:t>月</w:t>
      </w:r>
      <w:r>
        <w:rPr>
          <w:rFonts w:hint="eastAsia" w:asciiTheme="minorEastAsia" w:hAnsiTheme="minorEastAsia" w:eastAsiaTheme="minorEastAsia"/>
          <w:b/>
          <w:szCs w:val="24"/>
          <w:u w:val="single"/>
          <w:lang w:val="en-US" w:eastAsia="zh-CN"/>
        </w:rPr>
        <w:t>24</w:t>
      </w:r>
      <w:r>
        <w:rPr>
          <w:rFonts w:hint="eastAsia" w:asciiTheme="minorEastAsia" w:hAnsiTheme="minorEastAsia" w:eastAsiaTheme="minorEastAsia"/>
          <w:b/>
          <w:szCs w:val="24"/>
          <w:u w:val="single"/>
        </w:rPr>
        <w:t>日00:00（北京时间）</w:t>
      </w:r>
      <w:r>
        <w:rPr>
          <w:rFonts w:hint="eastAsia" w:asciiTheme="minorEastAsia" w:hAnsiTheme="minorEastAsia" w:eastAsiaTheme="minorEastAsia"/>
          <w:szCs w:val="24"/>
        </w:rPr>
        <w:t>前，供应商如果认为采购文件存在不明确、不清晰和前后不一致等问题，可登录“深圳政府采购智慧平台用户网上办事子系统（http://zfcg.szggzy.com:8081/TPBidder/memberLogin）”，在“【我的项目】→【项目流程】→【提问】”功能点中填写需澄清内容。</w:t>
      </w:r>
      <w:r>
        <w:rPr>
          <w:rFonts w:hint="eastAsia" w:asciiTheme="minorEastAsia" w:hAnsiTheme="minorEastAsia" w:eastAsiaTheme="minorEastAsia"/>
          <w:b/>
          <w:szCs w:val="24"/>
          <w:u w:val="single"/>
        </w:rPr>
        <w:t>2024年</w:t>
      </w:r>
      <w:r>
        <w:rPr>
          <w:rFonts w:hint="eastAsia" w:asciiTheme="minorEastAsia" w:hAnsiTheme="minorEastAsia" w:eastAsiaTheme="minorEastAsia"/>
          <w:b/>
          <w:szCs w:val="24"/>
          <w:u w:val="single"/>
          <w:lang w:val="en-US" w:eastAsia="zh-CN"/>
        </w:rPr>
        <w:t>11</w:t>
      </w:r>
      <w:r>
        <w:rPr>
          <w:rFonts w:hint="eastAsia" w:asciiTheme="minorEastAsia" w:hAnsiTheme="minorEastAsia" w:eastAsiaTheme="minorEastAsia"/>
          <w:b/>
          <w:szCs w:val="24"/>
          <w:u w:val="single"/>
        </w:rPr>
        <w:t>月</w:t>
      </w:r>
      <w:r>
        <w:rPr>
          <w:rFonts w:hint="eastAsia" w:asciiTheme="minorEastAsia" w:hAnsiTheme="minorEastAsia" w:eastAsiaTheme="minorEastAsia"/>
          <w:b/>
          <w:szCs w:val="24"/>
          <w:u w:val="single"/>
          <w:lang w:val="en-US" w:eastAsia="zh-CN"/>
        </w:rPr>
        <w:t>26</w:t>
      </w:r>
      <w:r>
        <w:rPr>
          <w:rFonts w:hint="eastAsia" w:asciiTheme="minorEastAsia" w:hAnsiTheme="minorEastAsia" w:eastAsiaTheme="minorEastAsia"/>
          <w:b/>
          <w:szCs w:val="24"/>
          <w:u w:val="single"/>
        </w:rPr>
        <w:t>日00:00（北京时间）</w:t>
      </w:r>
      <w:r>
        <w:rPr>
          <w:rFonts w:hint="eastAsia" w:asciiTheme="minorEastAsia" w:hAnsiTheme="minorEastAsia" w:eastAsiaTheme="minorEastAsia"/>
          <w:szCs w:val="24"/>
        </w:rPr>
        <w:t>前将采购文件澄清/修改情况在“【我的项目】→【项目流程】→【答疑澄清文件下载】”中公布，望投标人予以关注。</w:t>
      </w:r>
    </w:p>
    <w:p w14:paraId="471AE994">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重要提示：“提出采购文件澄清要求”不等同于“对采购文件质疑”，供应商提出的澄清要求内容如出现“质疑”字眼，将予以退回。供应商如认为采购文件存在限制性、倾向性、其权益受到损害，应在采购文件公布之日起七个工作日内以书面形式提出质疑。请质疑供应商根据深圳公共资源交易网（ https://www.szggzy.com/fwdh/fwdhzfcg/bszn1/content_203163.html ）所发布的质疑指引、质疑函模板填写质疑函并提交质疑材料。质疑材料可以采用现场或邮寄方式提交，采用邮寄方式提交的，交邮时间应在本公告发布之日起七个工作日内。质疑材料现场提交、邮寄地址：深圳市福田区民田路171号新华保险大厦903深圳市中正招标有限公司。质疑咨询电话：0755-83026699。根据《深圳经济特区政府采购条例》第四十二条“供应商投诉的事项应当是经过质疑的事项”的规定，未经正式质疑的，将影响供应商行使向财政部门提起投诉的权利。）</w:t>
      </w:r>
    </w:p>
    <w:p w14:paraId="643F67AA">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 xml:space="preserve">3、深圳市中正招标有限公司有权对投标人就本项目要求提供的相关证明资料（原件）进行审查。供应商提供虚假资料被查实的，则可能面临被取消本项目中标资格、列入不良行为记录名单和三年内禁止参与深圳市政府采购活动的风险。 </w:t>
      </w:r>
    </w:p>
    <w:p w14:paraId="476FFC1B">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4、本招标公告及本项目招标文件所涉及的时间一律为北京时间。投标人有义务在招标活动期间浏览深圳公共资源交易网（</w:t>
      </w:r>
      <w:r>
        <w:rPr>
          <w:rFonts w:asciiTheme="minorEastAsia" w:hAnsiTheme="minorEastAsia" w:eastAsiaTheme="minorEastAsia"/>
          <w:szCs w:val="24"/>
        </w:rPr>
        <w:t>https://www.szggzy.com</w:t>
      </w:r>
      <w:r>
        <w:rPr>
          <w:rFonts w:hint="eastAsia" w:asciiTheme="minorEastAsia" w:hAnsiTheme="minorEastAsia" w:eastAsiaTheme="minorEastAsia"/>
          <w:szCs w:val="24"/>
        </w:rPr>
        <w:t>），在深圳公共资源交易网上公布的与本次招标项目有关的信息视为已送达各投标人。</w:t>
      </w:r>
    </w:p>
    <w:p w14:paraId="071CE41D">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5、本项目不需要投标保证金</w:t>
      </w:r>
      <w:r>
        <w:rPr>
          <w:rFonts w:asciiTheme="minorEastAsia" w:hAnsiTheme="minorEastAsia" w:eastAsiaTheme="minorEastAsia"/>
          <w:szCs w:val="24"/>
        </w:rPr>
        <w:t>。</w:t>
      </w:r>
    </w:p>
    <w:p w14:paraId="33026207">
      <w:pPr>
        <w:widowControl/>
        <w:spacing w:line="360" w:lineRule="exact"/>
        <w:ind w:firstLine="424" w:firstLineChars="202"/>
        <w:rPr>
          <w:rFonts w:ascii="宋体" w:hAnsi="宋体"/>
          <w:szCs w:val="24"/>
        </w:rPr>
      </w:pPr>
    </w:p>
    <w:p w14:paraId="4E90F77E">
      <w:pPr>
        <w:widowControl/>
        <w:spacing w:line="360" w:lineRule="exact"/>
        <w:rPr>
          <w:rFonts w:ascii="宋体" w:hAnsi="宋体"/>
          <w:szCs w:val="24"/>
        </w:rPr>
      </w:pPr>
      <w:r>
        <w:rPr>
          <w:rFonts w:ascii="宋体" w:hAnsi="宋体"/>
          <w:szCs w:val="24"/>
        </w:rPr>
        <w:t>七、对本次招标提出询问，请按以下方式联系。</w:t>
      </w:r>
    </w:p>
    <w:p w14:paraId="66D56BE2">
      <w:pPr>
        <w:spacing w:line="360" w:lineRule="exact"/>
        <w:ind w:firstLine="424" w:firstLineChars="202"/>
        <w:rPr>
          <w:rFonts w:hint="eastAsia" w:asciiTheme="minorEastAsia" w:hAnsiTheme="minorEastAsia" w:eastAsiaTheme="minorEastAsia"/>
          <w:szCs w:val="24"/>
          <w:lang w:eastAsia="zh-CN"/>
        </w:rPr>
      </w:pPr>
      <w:r>
        <w:rPr>
          <w:rFonts w:hint="eastAsia" w:asciiTheme="minorEastAsia" w:hAnsiTheme="minorEastAsia" w:eastAsiaTheme="minorEastAsia"/>
          <w:szCs w:val="24"/>
        </w:rPr>
        <w:t>1、</w:t>
      </w:r>
      <w:r>
        <w:rPr>
          <w:rFonts w:asciiTheme="minorEastAsia" w:hAnsiTheme="minorEastAsia" w:eastAsiaTheme="minorEastAsia"/>
          <w:szCs w:val="24"/>
        </w:rPr>
        <w:t xml:space="preserve">采购人信息 </w:t>
      </w:r>
    </w:p>
    <w:p w14:paraId="7C61AB32">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名称：深圳市市容景观事务中心</w:t>
      </w:r>
    </w:p>
    <w:p w14:paraId="1C2B17E1">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地址：深圳市福田区莲花街道莲花支路1004号城管大厦西座</w:t>
      </w:r>
    </w:p>
    <w:p w14:paraId="3C279219">
      <w:pPr>
        <w:spacing w:line="360" w:lineRule="exact"/>
        <w:ind w:firstLine="424" w:firstLineChars="202"/>
        <w:rPr>
          <w:rFonts w:hint="default" w:eastAsia="宋体" w:asciiTheme="minorEastAsia" w:hAnsiTheme="minorEastAsia"/>
          <w:szCs w:val="24"/>
          <w:lang w:val="en-US" w:eastAsia="zh-CN"/>
        </w:rPr>
      </w:pPr>
      <w:r>
        <w:rPr>
          <w:rFonts w:hint="eastAsia" w:asciiTheme="minorEastAsia" w:hAnsiTheme="minorEastAsia" w:eastAsiaTheme="minorEastAsia"/>
          <w:szCs w:val="24"/>
        </w:rPr>
        <w:t>联系方式：</w:t>
      </w:r>
      <w:r>
        <w:rPr>
          <w:rFonts w:hint="eastAsia" w:asciiTheme="minorEastAsia" w:hAnsiTheme="minorEastAsia" w:eastAsiaTheme="minorEastAsia"/>
          <w:szCs w:val="24"/>
          <w:lang w:eastAsia="zh-CN"/>
        </w:rPr>
        <w:t>吕</w:t>
      </w:r>
      <w:r>
        <w:rPr>
          <w:rFonts w:hint="eastAsia" w:ascii="宋体" w:hAnsi="宋体" w:eastAsia="宋体" w:cs="宋体"/>
          <w:szCs w:val="24"/>
          <w:lang w:eastAsia="zh-CN"/>
        </w:rPr>
        <w:t>工</w:t>
      </w:r>
      <w:r>
        <w:rPr>
          <w:rFonts w:hint="eastAsia" w:ascii="宋体" w:hAnsi="宋体" w:cs="宋体"/>
          <w:szCs w:val="24"/>
          <w:lang w:eastAsia="zh-CN"/>
        </w:rPr>
        <w:t>，</w:t>
      </w:r>
      <w:r>
        <w:rPr>
          <w:rFonts w:hint="eastAsia" w:ascii="宋体" w:hAnsi="宋体" w:cs="宋体"/>
          <w:lang w:val="en-US" w:eastAsia="zh-CN"/>
        </w:rPr>
        <w:t>0755-83073792</w:t>
      </w:r>
    </w:p>
    <w:p w14:paraId="7391956B">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 xml:space="preserve">采购代理机构信息 </w:t>
      </w:r>
    </w:p>
    <w:p w14:paraId="38BA8C12">
      <w:pPr>
        <w:spacing w:line="360" w:lineRule="exact"/>
        <w:ind w:firstLine="424" w:firstLineChars="202"/>
        <w:rPr>
          <w:rFonts w:asciiTheme="minorEastAsia" w:hAnsiTheme="minorEastAsia" w:eastAsiaTheme="minorEastAsia"/>
          <w:szCs w:val="24"/>
        </w:rPr>
      </w:pPr>
      <w:r>
        <w:rPr>
          <w:rFonts w:asciiTheme="minorEastAsia" w:hAnsiTheme="minorEastAsia" w:eastAsiaTheme="minorEastAsia"/>
          <w:szCs w:val="24"/>
        </w:rPr>
        <w:t xml:space="preserve">名称：深圳市中正招标有限公司 </w:t>
      </w:r>
    </w:p>
    <w:p w14:paraId="790306A8">
      <w:pPr>
        <w:spacing w:line="360" w:lineRule="exact"/>
        <w:ind w:firstLine="424" w:firstLineChars="202"/>
        <w:rPr>
          <w:rFonts w:asciiTheme="minorEastAsia" w:hAnsiTheme="minorEastAsia" w:eastAsiaTheme="minorEastAsia"/>
          <w:szCs w:val="24"/>
        </w:rPr>
      </w:pPr>
      <w:r>
        <w:rPr>
          <w:rFonts w:asciiTheme="minorEastAsia" w:hAnsiTheme="minorEastAsia" w:eastAsiaTheme="minorEastAsia"/>
          <w:szCs w:val="24"/>
        </w:rPr>
        <w:t>地址：深圳市福田区</w:t>
      </w:r>
      <w:r>
        <w:rPr>
          <w:rFonts w:hint="eastAsia" w:asciiTheme="minorEastAsia" w:hAnsiTheme="minorEastAsia" w:eastAsiaTheme="minorEastAsia"/>
          <w:szCs w:val="24"/>
        </w:rPr>
        <w:t>民田路171号新华保险大厦903</w:t>
      </w:r>
    </w:p>
    <w:p w14:paraId="17B7410F">
      <w:pPr>
        <w:spacing w:line="360" w:lineRule="exact"/>
        <w:ind w:firstLine="424" w:firstLineChars="202"/>
        <w:rPr>
          <w:rFonts w:asciiTheme="minorEastAsia" w:hAnsiTheme="minorEastAsia" w:eastAsiaTheme="minorEastAsia"/>
          <w:szCs w:val="24"/>
        </w:rPr>
      </w:pPr>
      <w:r>
        <w:rPr>
          <w:rFonts w:asciiTheme="minorEastAsia" w:hAnsiTheme="minorEastAsia" w:eastAsiaTheme="minorEastAsia"/>
          <w:szCs w:val="24"/>
        </w:rPr>
        <w:t>联系方式：0755-83026699</w:t>
      </w:r>
    </w:p>
    <w:p w14:paraId="77424E00">
      <w:pPr>
        <w:spacing w:line="360" w:lineRule="exact"/>
        <w:ind w:firstLine="424" w:firstLineChars="202"/>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 xml:space="preserve">项目联系方式 </w:t>
      </w:r>
    </w:p>
    <w:p w14:paraId="303986B8">
      <w:pPr>
        <w:spacing w:line="360" w:lineRule="exact"/>
        <w:ind w:firstLine="424" w:firstLineChars="202"/>
        <w:rPr>
          <w:rFonts w:asciiTheme="minorEastAsia" w:hAnsiTheme="minorEastAsia" w:eastAsiaTheme="minorEastAsia"/>
          <w:szCs w:val="24"/>
        </w:rPr>
      </w:pPr>
      <w:r>
        <w:rPr>
          <w:rFonts w:asciiTheme="minorEastAsia" w:hAnsiTheme="minorEastAsia" w:eastAsiaTheme="minorEastAsia"/>
          <w:szCs w:val="24"/>
        </w:rPr>
        <w:t>项目联系人：</w:t>
      </w:r>
      <w:r>
        <w:rPr>
          <w:rFonts w:hint="eastAsia" w:asciiTheme="minorEastAsia" w:hAnsiTheme="minorEastAsia" w:eastAsiaTheme="minorEastAsia"/>
          <w:szCs w:val="24"/>
          <w:lang w:val="en-US" w:eastAsia="zh-CN"/>
        </w:rPr>
        <w:t>李</w:t>
      </w:r>
      <w:r>
        <w:rPr>
          <w:rFonts w:hint="eastAsia" w:asciiTheme="minorEastAsia" w:hAnsiTheme="minorEastAsia" w:eastAsiaTheme="minorEastAsia"/>
          <w:szCs w:val="24"/>
        </w:rPr>
        <w:t>先生</w:t>
      </w:r>
      <w:r>
        <w:rPr>
          <w:rFonts w:asciiTheme="minorEastAsia" w:hAnsiTheme="minorEastAsia" w:eastAsiaTheme="minorEastAsia"/>
          <w:szCs w:val="24"/>
        </w:rPr>
        <w:t xml:space="preserve"> </w:t>
      </w:r>
    </w:p>
    <w:p w14:paraId="5C9BF517">
      <w:pPr>
        <w:spacing w:line="360" w:lineRule="exact"/>
        <w:ind w:firstLine="424" w:firstLineChars="202"/>
        <w:rPr>
          <w:rFonts w:asciiTheme="minorEastAsia" w:hAnsiTheme="minorEastAsia" w:eastAsiaTheme="minorEastAsia"/>
          <w:szCs w:val="24"/>
        </w:rPr>
      </w:pPr>
      <w:r>
        <w:rPr>
          <w:rFonts w:asciiTheme="minorEastAsia" w:hAnsiTheme="minorEastAsia" w:eastAsiaTheme="minorEastAsia"/>
          <w:szCs w:val="24"/>
        </w:rPr>
        <w:t>电话：</w:t>
      </w:r>
      <w:r>
        <w:rPr>
          <w:rFonts w:hint="eastAsia" w:asciiTheme="minorEastAsia" w:hAnsiTheme="minorEastAsia" w:eastAsiaTheme="minorEastAsia"/>
          <w:szCs w:val="24"/>
        </w:rPr>
        <w:t>0755-83026699</w:t>
      </w:r>
    </w:p>
    <w:p w14:paraId="4C580BFD">
      <w:pPr>
        <w:spacing w:line="360" w:lineRule="exact"/>
        <w:ind w:firstLine="424" w:firstLineChars="202"/>
        <w:rPr>
          <w:rFonts w:asciiTheme="minorEastAsia" w:hAnsiTheme="minorEastAsia" w:eastAsiaTheme="minorEastAsia"/>
          <w:szCs w:val="24"/>
        </w:rPr>
      </w:pPr>
    </w:p>
    <w:p w14:paraId="1E95CE4D">
      <w:pPr>
        <w:widowControl/>
        <w:spacing w:line="360" w:lineRule="exact"/>
        <w:ind w:firstLine="484" w:firstLineChars="202"/>
        <w:jc w:val="right"/>
        <w:rPr>
          <w:rFonts w:ascii="宋体" w:hAnsi="宋体"/>
          <w:sz w:val="24"/>
          <w:szCs w:val="24"/>
        </w:rPr>
      </w:pPr>
      <w:r>
        <w:rPr>
          <w:rFonts w:hint="eastAsia" w:ascii="宋体" w:hAnsi="宋体"/>
          <w:sz w:val="24"/>
          <w:szCs w:val="24"/>
        </w:rPr>
        <w:t>深圳市中正招标有限公司</w:t>
      </w:r>
    </w:p>
    <w:p w14:paraId="44513D43">
      <w:pPr>
        <w:widowControl/>
        <w:spacing w:line="360" w:lineRule="exact"/>
        <w:ind w:firstLine="484" w:firstLineChars="202"/>
        <w:jc w:val="right"/>
        <w:rPr>
          <w:rFonts w:ascii="宋体" w:hAnsi="宋体"/>
          <w:szCs w:val="21"/>
        </w:rPr>
      </w:pPr>
      <w:r>
        <w:rPr>
          <w:rFonts w:hint="eastAsia" w:ascii="宋体" w:hAnsi="宋体"/>
          <w:sz w:val="24"/>
          <w:szCs w:val="24"/>
        </w:rPr>
        <w:t>2024年</w:t>
      </w:r>
      <w:r>
        <w:rPr>
          <w:rFonts w:hint="eastAsia" w:ascii="宋体" w:hAnsi="宋体"/>
          <w:sz w:val="24"/>
          <w:szCs w:val="24"/>
          <w:lang w:val="en-US" w:eastAsia="zh-CN"/>
        </w:rPr>
        <w:t>11</w:t>
      </w:r>
      <w:r>
        <w:rPr>
          <w:rFonts w:hint="eastAsia" w:ascii="宋体" w:hAnsi="宋体"/>
          <w:sz w:val="24"/>
          <w:szCs w:val="24"/>
        </w:rPr>
        <w:t>月</w:t>
      </w:r>
      <w:r>
        <w:rPr>
          <w:rFonts w:hint="eastAsia" w:ascii="宋体" w:hAnsi="宋体"/>
          <w:sz w:val="24"/>
          <w:szCs w:val="24"/>
          <w:lang w:val="en-US" w:eastAsia="zh-CN"/>
        </w:rPr>
        <w:t>18</w:t>
      </w:r>
      <w:r>
        <w:rPr>
          <w:rFonts w:hint="eastAsia" w:ascii="宋体" w:hAnsi="宋体"/>
          <w:sz w:val="24"/>
          <w:szCs w:val="24"/>
        </w:rPr>
        <w:t>日</w:t>
      </w:r>
      <w:bookmarkEnd w:id="0"/>
      <w:bookmarkEnd w:id="1"/>
    </w:p>
    <w:p w14:paraId="4469C916">
      <w:pPr>
        <w:spacing w:line="400" w:lineRule="exact"/>
        <w:jc w:val="right"/>
        <w:rPr>
          <w:rFonts w:ascii="宋体" w:hAnsi="宋体"/>
          <w:szCs w:val="21"/>
        </w:rPr>
      </w:pPr>
    </w:p>
    <w:p w14:paraId="52F67A17">
      <w:pPr>
        <w:spacing w:line="400" w:lineRule="exact"/>
        <w:jc w:val="right"/>
        <w:rPr>
          <w:rFonts w:ascii="宋体" w:hAnsi="宋体"/>
          <w:szCs w:val="21"/>
        </w:rPr>
      </w:pPr>
    </w:p>
    <w:p w14:paraId="0E7B4779">
      <w:pPr>
        <w:spacing w:line="400" w:lineRule="exact"/>
        <w:jc w:val="right"/>
        <w:rPr>
          <w:rFonts w:ascii="宋体" w:hAnsi="宋体"/>
          <w:szCs w:val="21"/>
        </w:rPr>
      </w:pPr>
    </w:p>
    <w:p w14:paraId="00C3790A">
      <w:pPr>
        <w:rPr>
          <w:rFonts w:hint="eastAsia" w:ascii="宋体" w:hAnsi="宋体"/>
          <w:b/>
          <w:bCs/>
          <w:kern w:val="0"/>
          <w:sz w:val="24"/>
          <w:szCs w:val="20"/>
        </w:rPr>
      </w:pPr>
      <w:r>
        <w:rPr>
          <w:rFonts w:hint="eastAsia" w:ascii="宋体" w:hAnsi="宋体"/>
          <w:b/>
          <w:bCs/>
          <w:kern w:val="0"/>
          <w:sz w:val="24"/>
          <w:szCs w:val="20"/>
        </w:rPr>
        <w:br w:type="page"/>
      </w:r>
    </w:p>
    <w:p w14:paraId="1ECF0F6F">
      <w:pPr>
        <w:keepNext/>
        <w:keepLines/>
        <w:adjustRightInd w:val="0"/>
        <w:spacing w:before="260" w:after="260"/>
        <w:jc w:val="center"/>
        <w:textAlignment w:val="baseline"/>
        <w:outlineLvl w:val="1"/>
        <w:rPr>
          <w:rFonts w:ascii="宋体" w:hAnsi="宋体"/>
          <w:b/>
          <w:bCs/>
          <w:kern w:val="0"/>
          <w:sz w:val="24"/>
          <w:szCs w:val="20"/>
        </w:rPr>
      </w:pPr>
      <w:r>
        <w:rPr>
          <w:rFonts w:hint="eastAsia" w:ascii="宋体" w:hAnsi="宋体"/>
          <w:b/>
          <w:bCs/>
          <w:kern w:val="0"/>
          <w:sz w:val="24"/>
          <w:szCs w:val="20"/>
        </w:rPr>
        <w:t>第二章  招标项目需求</w:t>
      </w:r>
    </w:p>
    <w:p w14:paraId="0D8A6323">
      <w:pPr>
        <w:keepNext/>
        <w:keepLines/>
        <w:adjustRightInd w:val="0"/>
        <w:spacing w:beforeLines="50" w:afterLines="50"/>
        <w:jc w:val="center"/>
        <w:textAlignment w:val="baseline"/>
        <w:outlineLvl w:val="1"/>
        <w:rPr>
          <w:rFonts w:ascii="宋体" w:hAnsi="宋体"/>
          <w:b/>
          <w:bCs/>
          <w:kern w:val="0"/>
          <w:sz w:val="28"/>
          <w:szCs w:val="28"/>
        </w:rPr>
      </w:pPr>
      <w:bookmarkStart w:id="2" w:name="_Toc60631620"/>
      <w:bookmarkStart w:id="3" w:name="_Toc73518117"/>
      <w:bookmarkStart w:id="4" w:name="_Toc101074876"/>
      <w:bookmarkStart w:id="5" w:name="_Toc73521635"/>
      <w:bookmarkStart w:id="6" w:name="_Toc60560625"/>
      <w:bookmarkStart w:id="7" w:name="_Toc73521547"/>
      <w:bookmarkStart w:id="8" w:name="_Toc100052364"/>
      <w:bookmarkStart w:id="9" w:name="_Toc73517639"/>
      <w:r>
        <w:rPr>
          <w:rFonts w:hint="eastAsia" w:ascii="宋体" w:hAnsi="宋体"/>
          <w:b/>
          <w:bCs/>
          <w:kern w:val="0"/>
          <w:sz w:val="28"/>
          <w:szCs w:val="28"/>
        </w:rPr>
        <w:t>一、对通用条款的补充内容</w:t>
      </w:r>
    </w:p>
    <w:bookmarkEnd w:id="2"/>
    <w:bookmarkEnd w:id="3"/>
    <w:bookmarkEnd w:id="4"/>
    <w:bookmarkEnd w:id="5"/>
    <w:bookmarkEnd w:id="6"/>
    <w:bookmarkEnd w:id="7"/>
    <w:bookmarkEnd w:id="8"/>
    <w:bookmarkEnd w:id="9"/>
    <w:tbl>
      <w:tblPr>
        <w:tblStyle w:val="42"/>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7"/>
        <w:gridCol w:w="2160"/>
        <w:gridCol w:w="5400"/>
      </w:tblGrid>
      <w:tr w14:paraId="3E5A0B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14:paraId="629F2FE8">
            <w:pPr>
              <w:jc w:val="center"/>
              <w:rPr>
                <w:rFonts w:ascii="宋体" w:hAnsi="宋体"/>
                <w:b/>
                <w:bCs/>
                <w:szCs w:val="24"/>
              </w:rPr>
            </w:pPr>
            <w:r>
              <w:rPr>
                <w:rFonts w:hint="eastAsia" w:ascii="宋体" w:hAnsi="宋体"/>
                <w:b/>
                <w:bCs/>
                <w:szCs w:val="24"/>
              </w:rPr>
              <w:t>序号</w:t>
            </w:r>
          </w:p>
        </w:tc>
        <w:tc>
          <w:tcPr>
            <w:tcW w:w="2160" w:type="dxa"/>
            <w:vAlign w:val="center"/>
          </w:tcPr>
          <w:p w14:paraId="5F2651D3">
            <w:pPr>
              <w:jc w:val="center"/>
              <w:rPr>
                <w:rFonts w:ascii="宋体" w:hAnsi="宋体"/>
                <w:b/>
                <w:bCs/>
                <w:szCs w:val="24"/>
              </w:rPr>
            </w:pPr>
            <w:r>
              <w:rPr>
                <w:rFonts w:hint="eastAsia" w:ascii="宋体" w:hAnsi="宋体"/>
                <w:b/>
                <w:bCs/>
                <w:szCs w:val="24"/>
              </w:rPr>
              <w:t>内   容</w:t>
            </w:r>
          </w:p>
        </w:tc>
        <w:tc>
          <w:tcPr>
            <w:tcW w:w="5400" w:type="dxa"/>
            <w:vAlign w:val="center"/>
          </w:tcPr>
          <w:p w14:paraId="633D3968">
            <w:pPr>
              <w:jc w:val="center"/>
              <w:rPr>
                <w:rFonts w:ascii="宋体" w:hAnsi="宋体"/>
                <w:b/>
                <w:bCs/>
                <w:szCs w:val="24"/>
              </w:rPr>
            </w:pPr>
            <w:r>
              <w:rPr>
                <w:rFonts w:hint="eastAsia" w:ascii="宋体" w:hAnsi="宋体"/>
                <w:b/>
                <w:bCs/>
                <w:szCs w:val="24"/>
              </w:rPr>
              <w:t>规      定</w:t>
            </w:r>
          </w:p>
        </w:tc>
      </w:tr>
      <w:tr w14:paraId="7D93B7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5" w:hRule="atLeast"/>
          <w:jc w:val="center"/>
        </w:trPr>
        <w:tc>
          <w:tcPr>
            <w:tcW w:w="807" w:type="dxa"/>
            <w:vAlign w:val="center"/>
          </w:tcPr>
          <w:p w14:paraId="0D074481">
            <w:pPr>
              <w:jc w:val="center"/>
              <w:rPr>
                <w:rFonts w:ascii="宋体" w:hAnsi="宋体"/>
                <w:szCs w:val="24"/>
              </w:rPr>
            </w:pPr>
            <w:r>
              <w:rPr>
                <w:rFonts w:hint="eastAsia" w:ascii="宋体" w:hAnsi="宋体"/>
                <w:szCs w:val="24"/>
              </w:rPr>
              <w:t>1</w:t>
            </w:r>
          </w:p>
        </w:tc>
        <w:tc>
          <w:tcPr>
            <w:tcW w:w="2160" w:type="dxa"/>
            <w:vAlign w:val="center"/>
          </w:tcPr>
          <w:p w14:paraId="4C6037C2">
            <w:pPr>
              <w:jc w:val="center"/>
              <w:rPr>
                <w:rFonts w:ascii="Times New Roman" w:hAnsi="Times New Roman"/>
                <w:szCs w:val="24"/>
              </w:rPr>
            </w:pPr>
            <w:r>
              <w:rPr>
                <w:rFonts w:hint="eastAsia" w:ascii="Times New Roman" w:hAnsi="Times New Roman"/>
                <w:szCs w:val="24"/>
              </w:rPr>
              <w:t>联合体投标</w:t>
            </w:r>
          </w:p>
        </w:tc>
        <w:tc>
          <w:tcPr>
            <w:tcW w:w="5400" w:type="dxa"/>
            <w:vAlign w:val="center"/>
          </w:tcPr>
          <w:p w14:paraId="75564C46">
            <w:pPr>
              <w:rPr>
                <w:rFonts w:ascii="宋体" w:hAnsi="宋体"/>
                <w:snapToGrid w:val="0"/>
                <w:kern w:val="0"/>
                <w:szCs w:val="32"/>
                <w:lang w:val="zh-CN"/>
              </w:rPr>
            </w:pPr>
            <w:r>
              <w:rPr>
                <w:rFonts w:hint="eastAsia" w:ascii="宋体" w:hAnsi="宋体"/>
                <w:snapToGrid w:val="0"/>
                <w:kern w:val="0"/>
                <w:szCs w:val="32"/>
                <w:lang w:val="zh-CN"/>
              </w:rPr>
              <w:t>见《招标公告》中“项目基本情况”部分的相关内容</w:t>
            </w:r>
          </w:p>
        </w:tc>
      </w:tr>
      <w:tr w14:paraId="078A27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5" w:hRule="atLeast"/>
          <w:jc w:val="center"/>
        </w:trPr>
        <w:tc>
          <w:tcPr>
            <w:tcW w:w="807" w:type="dxa"/>
            <w:vAlign w:val="center"/>
          </w:tcPr>
          <w:p w14:paraId="62CEF6B5">
            <w:pPr>
              <w:jc w:val="center"/>
              <w:rPr>
                <w:rFonts w:ascii="宋体" w:hAnsi="宋体"/>
                <w:szCs w:val="24"/>
              </w:rPr>
            </w:pPr>
            <w:r>
              <w:rPr>
                <w:rFonts w:hint="eastAsia" w:ascii="宋体" w:hAnsi="宋体"/>
                <w:szCs w:val="24"/>
              </w:rPr>
              <w:t>2</w:t>
            </w:r>
          </w:p>
        </w:tc>
        <w:tc>
          <w:tcPr>
            <w:tcW w:w="2160" w:type="dxa"/>
            <w:vAlign w:val="center"/>
          </w:tcPr>
          <w:p w14:paraId="1CCFC030">
            <w:pPr>
              <w:jc w:val="center"/>
              <w:rPr>
                <w:rFonts w:ascii="宋体" w:hAnsi="宋体"/>
                <w:szCs w:val="24"/>
              </w:rPr>
            </w:pPr>
            <w:r>
              <w:rPr>
                <w:rFonts w:hint="eastAsia" w:ascii="宋体" w:hAnsi="宋体"/>
                <w:szCs w:val="24"/>
              </w:rPr>
              <w:t>投标有效期</w:t>
            </w:r>
          </w:p>
        </w:tc>
        <w:tc>
          <w:tcPr>
            <w:tcW w:w="5400" w:type="dxa"/>
            <w:vAlign w:val="center"/>
          </w:tcPr>
          <w:p w14:paraId="4F1E05EF">
            <w:pPr>
              <w:rPr>
                <w:rFonts w:ascii="宋体" w:hAnsi="宋体"/>
                <w:szCs w:val="24"/>
              </w:rPr>
            </w:pPr>
            <w:r>
              <w:rPr>
                <w:rFonts w:hint="eastAsia" w:ascii="宋体" w:hAnsi="宋体"/>
                <w:szCs w:val="24"/>
                <w:u w:val="single"/>
              </w:rPr>
              <w:t>90</w:t>
            </w:r>
            <w:r>
              <w:rPr>
                <w:rFonts w:ascii="宋体" w:hAnsi="宋体"/>
                <w:szCs w:val="24"/>
                <w:u w:val="single"/>
              </w:rPr>
              <w:t>日历天</w:t>
            </w:r>
            <w:r>
              <w:rPr>
                <w:rFonts w:ascii="宋体" w:hAnsi="宋体"/>
                <w:szCs w:val="24"/>
              </w:rPr>
              <w:t>（从投标截止之日算起）</w:t>
            </w:r>
          </w:p>
        </w:tc>
      </w:tr>
      <w:tr w14:paraId="2FEB25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365" w:hRule="atLeast"/>
          <w:jc w:val="center"/>
        </w:trPr>
        <w:tc>
          <w:tcPr>
            <w:tcW w:w="807" w:type="dxa"/>
            <w:vAlign w:val="center"/>
          </w:tcPr>
          <w:p w14:paraId="0B663409">
            <w:pPr>
              <w:jc w:val="center"/>
              <w:rPr>
                <w:rFonts w:ascii="宋体" w:hAnsi="宋体"/>
                <w:szCs w:val="24"/>
              </w:rPr>
            </w:pPr>
            <w:r>
              <w:rPr>
                <w:rFonts w:hint="eastAsia" w:ascii="宋体" w:hAnsi="宋体"/>
                <w:szCs w:val="24"/>
              </w:rPr>
              <w:t>3</w:t>
            </w:r>
          </w:p>
        </w:tc>
        <w:tc>
          <w:tcPr>
            <w:tcW w:w="2160" w:type="dxa"/>
            <w:vAlign w:val="center"/>
          </w:tcPr>
          <w:p w14:paraId="6BCF6C8C">
            <w:pPr>
              <w:jc w:val="center"/>
              <w:rPr>
                <w:rFonts w:ascii="宋体" w:hAnsi="宋体"/>
                <w:szCs w:val="24"/>
              </w:rPr>
            </w:pPr>
            <w:r>
              <w:rPr>
                <w:rFonts w:hint="eastAsia" w:ascii="宋体" w:hAnsi="宋体"/>
                <w:szCs w:val="24"/>
              </w:rPr>
              <w:t>投标人的替代方案</w:t>
            </w:r>
          </w:p>
        </w:tc>
        <w:tc>
          <w:tcPr>
            <w:tcW w:w="5400" w:type="dxa"/>
            <w:vAlign w:val="center"/>
          </w:tcPr>
          <w:p w14:paraId="3B10D76F">
            <w:pPr>
              <w:rPr>
                <w:rFonts w:ascii="宋体" w:hAnsi="宋体"/>
                <w:szCs w:val="24"/>
              </w:rPr>
            </w:pPr>
            <w:r>
              <w:rPr>
                <w:rFonts w:hint="eastAsia" w:ascii="宋体" w:hAnsi="宋体"/>
                <w:szCs w:val="24"/>
              </w:rPr>
              <w:t>不允许</w:t>
            </w:r>
          </w:p>
        </w:tc>
      </w:tr>
      <w:tr w14:paraId="580D52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14:paraId="299DAB05">
            <w:pPr>
              <w:jc w:val="center"/>
              <w:rPr>
                <w:rFonts w:ascii="宋体" w:hAnsi="宋体"/>
                <w:szCs w:val="24"/>
              </w:rPr>
            </w:pPr>
            <w:r>
              <w:rPr>
                <w:rFonts w:hint="eastAsia" w:ascii="宋体" w:hAnsi="宋体"/>
                <w:szCs w:val="24"/>
              </w:rPr>
              <w:t>4</w:t>
            </w:r>
          </w:p>
        </w:tc>
        <w:tc>
          <w:tcPr>
            <w:tcW w:w="2160" w:type="dxa"/>
            <w:vAlign w:val="center"/>
          </w:tcPr>
          <w:p w14:paraId="243A65EC">
            <w:pPr>
              <w:jc w:val="center"/>
              <w:rPr>
                <w:rFonts w:ascii="宋体" w:hAnsi="宋体"/>
                <w:szCs w:val="24"/>
              </w:rPr>
            </w:pPr>
            <w:r>
              <w:rPr>
                <w:rFonts w:hint="eastAsia" w:ascii="宋体" w:hAnsi="宋体"/>
                <w:szCs w:val="24"/>
              </w:rPr>
              <w:t>投标文件的投递</w:t>
            </w:r>
          </w:p>
        </w:tc>
        <w:tc>
          <w:tcPr>
            <w:tcW w:w="5400" w:type="dxa"/>
            <w:vAlign w:val="center"/>
          </w:tcPr>
          <w:p w14:paraId="4CE7CEED">
            <w:pPr>
              <w:spacing w:line="360" w:lineRule="exact"/>
              <w:rPr>
                <w:rFonts w:ascii="宋体" w:hAnsi="宋体"/>
              </w:rPr>
            </w:pPr>
            <w:r>
              <w:rPr>
                <w:rFonts w:hint="eastAsia" w:ascii="宋体" w:hAnsi="宋体"/>
              </w:rPr>
              <w:t>本项目实行网上投标，投标人必须在招标文件规定的投标截止时间前登录“深圳政府采购智慧平台用户网上办事子系统”，使用“【我的项目】→【项目流程】→【递交投标(应答)文件】</w:t>
            </w:r>
            <w:r>
              <w:rPr>
                <w:rFonts w:ascii="宋体" w:hAnsi="宋体"/>
              </w:rPr>
              <w:t>”功能</w:t>
            </w:r>
            <w:r>
              <w:rPr>
                <w:rFonts w:hint="eastAsia" w:ascii="宋体" w:hAnsi="宋体"/>
              </w:rPr>
              <w:t>点，</w:t>
            </w:r>
            <w:r>
              <w:rPr>
                <w:rFonts w:ascii="宋体" w:hAnsi="宋体"/>
              </w:rPr>
              <w:t>将编制好的电子投标文件上传，投标文件大小不得超过</w:t>
            </w:r>
            <w:r>
              <w:rPr>
                <w:rFonts w:hint="eastAsia" w:ascii="宋体" w:hAnsi="宋体"/>
              </w:rPr>
              <w:t>20</w:t>
            </w:r>
            <w:r>
              <w:rPr>
                <w:rFonts w:ascii="宋体" w:hAnsi="宋体"/>
              </w:rPr>
              <w:t>0MB</w:t>
            </w:r>
            <w:r>
              <w:rPr>
                <w:rFonts w:hint="eastAsia" w:ascii="宋体" w:hAnsi="宋体" w:cs="宋体"/>
                <w:szCs w:val="21"/>
              </w:rPr>
              <w:t>，单个节点文件不能超过</w:t>
            </w:r>
            <w:r>
              <w:rPr>
                <w:rFonts w:ascii="宋体" w:hAnsi="宋体" w:cs="宋体"/>
                <w:szCs w:val="21"/>
              </w:rPr>
              <w:t>50M</w:t>
            </w:r>
            <w:r>
              <w:rPr>
                <w:rFonts w:hint="eastAsia" w:ascii="宋体" w:hAnsi="宋体" w:cs="宋体"/>
                <w:szCs w:val="21"/>
              </w:rPr>
              <w:t>B</w:t>
            </w:r>
            <w:r>
              <w:rPr>
                <w:rFonts w:hint="eastAsia" w:ascii="宋体" w:hAnsi="宋体"/>
              </w:rPr>
              <w:t>。</w:t>
            </w:r>
          </w:p>
        </w:tc>
      </w:tr>
      <w:tr w14:paraId="544BED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14:paraId="793A0813">
            <w:pPr>
              <w:jc w:val="center"/>
              <w:rPr>
                <w:rFonts w:ascii="宋体" w:hAnsi="宋体"/>
                <w:szCs w:val="24"/>
              </w:rPr>
            </w:pPr>
            <w:r>
              <w:rPr>
                <w:rFonts w:hint="eastAsia" w:ascii="宋体" w:hAnsi="宋体"/>
                <w:szCs w:val="24"/>
              </w:rPr>
              <w:t>5</w:t>
            </w:r>
          </w:p>
        </w:tc>
        <w:tc>
          <w:tcPr>
            <w:tcW w:w="2160" w:type="dxa"/>
            <w:vAlign w:val="center"/>
          </w:tcPr>
          <w:p w14:paraId="632563A7">
            <w:pPr>
              <w:jc w:val="center"/>
              <w:rPr>
                <w:rFonts w:ascii="宋体" w:hAnsi="宋体"/>
                <w:szCs w:val="24"/>
              </w:rPr>
            </w:pPr>
            <w:r>
              <w:rPr>
                <w:rFonts w:hint="eastAsia" w:ascii="宋体" w:hAnsi="宋体"/>
                <w:szCs w:val="24"/>
              </w:rPr>
              <w:t>中标服务费</w:t>
            </w:r>
          </w:p>
        </w:tc>
        <w:tc>
          <w:tcPr>
            <w:tcW w:w="5400" w:type="dxa"/>
            <w:vAlign w:val="center"/>
          </w:tcPr>
          <w:p w14:paraId="571093A3">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按深财购[2018]27号文件规定的代理费用参考标准，向中标供应商收取中标服务费，具体如下：</w:t>
            </w:r>
          </w:p>
          <w:p w14:paraId="7DC342D6">
            <w:pPr>
              <w:spacing w:line="360" w:lineRule="exact"/>
              <w:rPr>
                <w:rFonts w:asciiTheme="minorEastAsia" w:hAnsiTheme="minorEastAsia" w:eastAsiaTheme="minorEastAsia"/>
                <w:szCs w:val="20"/>
              </w:rPr>
            </w:pPr>
            <w:r>
              <w:rPr>
                <w:rFonts w:hint="eastAsia" w:ascii="宋体" w:hAnsi="宋体" w:eastAsia="MS Mincho" w:cs="MS Mincho"/>
                <w:sz w:val="24"/>
                <w:szCs w:val="24"/>
              </w:rPr>
              <w:t>☑</w:t>
            </w:r>
            <w:r>
              <w:rPr>
                <w:rFonts w:hint="eastAsia" w:asciiTheme="minorEastAsia" w:hAnsiTheme="minorEastAsia" w:eastAsiaTheme="minorEastAsia"/>
                <w:szCs w:val="21"/>
              </w:rPr>
              <w:t>以中标金额作为计算依据</w:t>
            </w:r>
            <w:r>
              <w:rPr>
                <w:rFonts w:hint="eastAsia" w:asciiTheme="minorEastAsia" w:hAnsiTheme="minorEastAsia" w:eastAsiaTheme="minorEastAsia"/>
                <w:szCs w:val="20"/>
              </w:rPr>
              <w:t>，费用下浮</w:t>
            </w:r>
            <w:r>
              <w:rPr>
                <w:rFonts w:hint="eastAsia" w:asciiTheme="minorEastAsia" w:hAnsiTheme="minorEastAsia" w:eastAsiaTheme="minorEastAsia"/>
                <w:szCs w:val="20"/>
                <w:u w:val="single"/>
              </w:rPr>
              <w:t xml:space="preserve">  0  </w:t>
            </w:r>
            <w:r>
              <w:rPr>
                <w:rFonts w:hint="eastAsia" w:asciiTheme="minorEastAsia" w:hAnsiTheme="minorEastAsia" w:eastAsiaTheme="minorEastAsia"/>
                <w:szCs w:val="20"/>
              </w:rPr>
              <w:t>%，最低收取人民币</w:t>
            </w:r>
            <w:r>
              <w:rPr>
                <w:rFonts w:hint="eastAsia" w:asciiTheme="minorEastAsia" w:hAnsiTheme="minorEastAsia" w:eastAsiaTheme="minorEastAsia"/>
                <w:szCs w:val="20"/>
                <w:highlight w:val="none"/>
              </w:rPr>
              <w:t>7000</w:t>
            </w:r>
            <w:r>
              <w:rPr>
                <w:rFonts w:hint="eastAsia" w:asciiTheme="minorEastAsia" w:hAnsiTheme="minorEastAsia" w:eastAsiaTheme="minorEastAsia"/>
                <w:szCs w:val="20"/>
              </w:rPr>
              <w:t>元。</w:t>
            </w:r>
          </w:p>
          <w:p w14:paraId="34D75233">
            <w:pPr>
              <w:spacing w:line="360" w:lineRule="exact"/>
              <w:rPr>
                <w:rFonts w:ascii="宋体" w:hAnsi="宋体"/>
              </w:rPr>
            </w:pPr>
            <w:r>
              <w:rPr>
                <w:rFonts w:hint="eastAsia" w:ascii="Times New Roman" w:hAnsi="宋体"/>
                <w:szCs w:val="24"/>
              </w:rPr>
              <w:t>□</w:t>
            </w:r>
            <w:r>
              <w:rPr>
                <w:rFonts w:hint="eastAsia" w:asciiTheme="minorEastAsia" w:hAnsiTheme="minorEastAsia" w:eastAsiaTheme="minorEastAsia"/>
                <w:szCs w:val="21"/>
              </w:rPr>
              <w:t>以预算金额（支付上限）作为计算依据</w:t>
            </w:r>
            <w:r>
              <w:rPr>
                <w:rFonts w:hint="eastAsia" w:asciiTheme="minorEastAsia" w:hAnsiTheme="minorEastAsia" w:eastAsiaTheme="minorEastAsia"/>
                <w:szCs w:val="24"/>
              </w:rPr>
              <w:t>，费用下浮</w:t>
            </w:r>
            <w:r>
              <w:rPr>
                <w:rFonts w:hint="eastAsia" w:asciiTheme="minorEastAsia" w:hAnsiTheme="minorEastAsia" w:eastAsiaTheme="minorEastAsia"/>
                <w:szCs w:val="24"/>
                <w:u w:val="single"/>
              </w:rPr>
              <w:t xml:space="preserve">  0  </w:t>
            </w:r>
            <w:r>
              <w:rPr>
                <w:rFonts w:hint="eastAsia" w:asciiTheme="minorEastAsia" w:hAnsiTheme="minorEastAsia" w:eastAsiaTheme="minorEastAsia"/>
                <w:szCs w:val="24"/>
              </w:rPr>
              <w:t>%，收取中标服务费：人民币</w:t>
            </w:r>
            <w:r>
              <w:rPr>
                <w:rFonts w:hint="eastAsia" w:asciiTheme="minorEastAsia" w:hAnsiTheme="minorEastAsia" w:eastAsiaTheme="minorEastAsia"/>
                <w:szCs w:val="24"/>
                <w:u w:val="single"/>
              </w:rPr>
              <w:t xml:space="preserve">       </w:t>
            </w:r>
            <w:r>
              <w:rPr>
                <w:rFonts w:hint="eastAsia" w:asciiTheme="minorEastAsia" w:hAnsiTheme="minorEastAsia" w:eastAsiaTheme="minorEastAsia"/>
                <w:szCs w:val="24"/>
              </w:rPr>
              <w:t>元。</w:t>
            </w:r>
          </w:p>
        </w:tc>
      </w:tr>
      <w:tr w14:paraId="4AA4C6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07" w:type="dxa"/>
            <w:vAlign w:val="center"/>
          </w:tcPr>
          <w:p w14:paraId="4DDCE973">
            <w:pPr>
              <w:jc w:val="center"/>
              <w:rPr>
                <w:rFonts w:ascii="宋体" w:hAnsi="宋体"/>
                <w:szCs w:val="24"/>
              </w:rPr>
            </w:pPr>
            <w:r>
              <w:rPr>
                <w:rFonts w:hint="eastAsia" w:ascii="宋体" w:hAnsi="宋体"/>
                <w:szCs w:val="24"/>
              </w:rPr>
              <w:t>6</w:t>
            </w:r>
          </w:p>
        </w:tc>
        <w:tc>
          <w:tcPr>
            <w:tcW w:w="2160" w:type="dxa"/>
            <w:vAlign w:val="center"/>
          </w:tcPr>
          <w:p w14:paraId="6D707824">
            <w:pPr>
              <w:jc w:val="center"/>
              <w:rPr>
                <w:rFonts w:ascii="宋体" w:hAnsi="宋体"/>
                <w:szCs w:val="24"/>
              </w:rPr>
            </w:pPr>
            <w:r>
              <w:rPr>
                <w:rFonts w:hint="eastAsia" w:ascii="宋体" w:hAnsi="宋体"/>
                <w:szCs w:val="24"/>
              </w:rPr>
              <w:t>履约保证金</w:t>
            </w:r>
          </w:p>
        </w:tc>
        <w:tc>
          <w:tcPr>
            <w:tcW w:w="5400" w:type="dxa"/>
            <w:vAlign w:val="center"/>
          </w:tcPr>
          <w:p w14:paraId="7DC3662D">
            <w:pPr>
              <w:spacing w:line="360" w:lineRule="exact"/>
              <w:rPr>
                <w:rFonts w:ascii="宋体" w:hAnsi="宋体"/>
                <w:szCs w:val="24"/>
              </w:rPr>
            </w:pPr>
            <w:r>
              <w:rPr>
                <w:rFonts w:hint="eastAsia" w:ascii="宋体" w:hAnsi="宋体" w:eastAsia="MS Mincho" w:cs="MS Mincho"/>
                <w:sz w:val="24"/>
                <w:szCs w:val="24"/>
              </w:rPr>
              <w:t>☑</w:t>
            </w:r>
            <w:r>
              <w:rPr>
                <w:rFonts w:hint="eastAsia" w:ascii="宋体" w:hAnsi="宋体"/>
                <w:szCs w:val="24"/>
              </w:rPr>
              <w:t>本项目不收取履约保证金。</w:t>
            </w:r>
          </w:p>
          <w:p w14:paraId="7EDA8657">
            <w:pPr>
              <w:spacing w:line="360" w:lineRule="exact"/>
              <w:rPr>
                <w:rFonts w:ascii="宋体" w:hAnsi="宋体"/>
                <w:szCs w:val="24"/>
              </w:rPr>
            </w:pPr>
            <w:r>
              <w:rPr>
                <w:rFonts w:hint="eastAsia" w:ascii="Times New Roman" w:hAnsi="宋体"/>
                <w:szCs w:val="24"/>
              </w:rPr>
              <w:t>□</w:t>
            </w:r>
            <w:r>
              <w:rPr>
                <w:rFonts w:hint="eastAsia" w:ascii="宋体" w:hAnsi="宋体"/>
                <w:szCs w:val="24"/>
              </w:rPr>
              <w:t>本项目收取履约保证金数额为合同金额的</w:t>
            </w:r>
            <w:r>
              <w:rPr>
                <w:rFonts w:hint="eastAsia" w:ascii="宋体" w:hAnsi="宋体"/>
                <w:szCs w:val="24"/>
                <w:u w:val="single"/>
              </w:rPr>
              <w:t xml:space="preserve">  </w:t>
            </w:r>
            <w:r>
              <w:rPr>
                <w:rFonts w:hint="eastAsia" w:ascii="宋体" w:hAnsi="宋体"/>
                <w:szCs w:val="24"/>
              </w:rPr>
              <w:t>%（不超过10%）。</w:t>
            </w:r>
          </w:p>
          <w:p w14:paraId="2BA3F2BA">
            <w:pPr>
              <w:spacing w:line="360" w:lineRule="exact"/>
              <w:rPr>
                <w:rFonts w:ascii="宋体" w:hAnsi="宋体"/>
                <w:szCs w:val="24"/>
              </w:rPr>
            </w:pPr>
            <w:r>
              <w:rPr>
                <w:rFonts w:hint="eastAsia" w:ascii="宋体" w:hAnsi="宋体"/>
                <w:szCs w:val="24"/>
              </w:rPr>
              <w:t>根据《深圳市财政局关于进一步优化政府采购营商环境的通知》（深财购〔2021〕31号），政府采购原则上不收取履约保证金；确需收取履约保证金的，应当允许供应商自主选择以支票、汇票、本票、保函等非现金形式缴纳或提交。收取履约保证金的，应当在采购文件中明确履约保证金退还的方式、时间、条件和不予退还的情形，并明确逾期退还履约保证金的违约责任。</w:t>
            </w:r>
          </w:p>
          <w:p w14:paraId="1BB8395A">
            <w:pPr>
              <w:spacing w:line="360" w:lineRule="exact"/>
              <w:rPr>
                <w:rFonts w:ascii="宋体" w:hAnsi="宋体"/>
              </w:rPr>
            </w:pPr>
            <w:r>
              <w:rPr>
                <w:rFonts w:hint="eastAsia" w:ascii="宋体" w:hAnsi="宋体"/>
                <w:szCs w:val="24"/>
              </w:rPr>
              <w:t>如中标供应商为</w:t>
            </w:r>
            <w:r>
              <w:rPr>
                <w:rFonts w:hint="eastAsia" w:ascii="宋体" w:cs="宋体" w:hAnsiTheme="minorHAnsi"/>
                <w:kern w:val="0"/>
                <w:szCs w:val="21"/>
              </w:rPr>
              <w:t>中小微企业，则收取的履约保证金的数额不得超过政府采购合同金额的</w:t>
            </w:r>
            <w:r>
              <w:rPr>
                <w:rFonts w:ascii="宋体" w:cs="宋体" w:hAnsiTheme="minorHAnsi"/>
                <w:kern w:val="0"/>
                <w:szCs w:val="21"/>
              </w:rPr>
              <w:t>5%</w:t>
            </w:r>
            <w:r>
              <w:rPr>
                <w:rFonts w:hint="eastAsia" w:ascii="宋体" w:cs="宋体" w:hAnsiTheme="minorHAnsi"/>
                <w:kern w:val="0"/>
                <w:szCs w:val="21"/>
              </w:rPr>
              <w:t>。</w:t>
            </w:r>
          </w:p>
        </w:tc>
      </w:tr>
    </w:tbl>
    <w:p w14:paraId="2C2837DB">
      <w:pPr>
        <w:rPr>
          <w:rFonts w:ascii="Times New Roman" w:hAnsi="Times New Roman"/>
          <w:b/>
          <w:szCs w:val="24"/>
        </w:rPr>
      </w:pPr>
      <w:r>
        <w:rPr>
          <w:rFonts w:hint="eastAsia" w:ascii="Times New Roman" w:hAnsi="Times New Roman"/>
          <w:szCs w:val="21"/>
        </w:rPr>
        <w:t xml:space="preserve">    备注：本表为通用条款相关内容的补充和明确，如与通用条款相冲突的以本表为准。</w:t>
      </w:r>
    </w:p>
    <w:p w14:paraId="305A7AA6">
      <w:pPr>
        <w:rPr>
          <w:ins w:id="0" w:author="ang" w:date="2024-10-22T17:31:57Z"/>
          <w:rFonts w:ascii="Times New Roman" w:hAnsi="Times New Roman"/>
          <w:b/>
          <w:szCs w:val="24"/>
        </w:rPr>
      </w:pPr>
    </w:p>
    <w:p w14:paraId="22754E48">
      <w:pPr>
        <w:rPr>
          <w:ins w:id="1" w:author="ang" w:date="2024-10-31T16:01:16Z"/>
        </w:rPr>
      </w:pPr>
      <w:ins w:id="2" w:author="ang" w:date="2024-10-31T16:01:16Z">
        <w:r>
          <w:rPr/>
          <w:br w:type="page"/>
        </w:r>
      </w:ins>
    </w:p>
    <w:p w14:paraId="4064250F">
      <w:pPr>
        <w:pStyle w:val="6"/>
        <w:spacing w:beforeLines="50" w:afterLines="50"/>
      </w:pPr>
      <w:bookmarkStart w:id="10" w:name="_Toc128884461"/>
      <w:r>
        <w:rPr>
          <w:rFonts w:hint="eastAsia"/>
          <w:b/>
          <w:bCs/>
          <w:sz w:val="28"/>
          <w:szCs w:val="28"/>
        </w:rPr>
        <w:t>二、实质性条款</w:t>
      </w:r>
    </w:p>
    <w:tbl>
      <w:tblPr>
        <w:tblStyle w:val="42"/>
        <w:tblW w:w="836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658"/>
      </w:tblGrid>
      <w:tr w14:paraId="46C2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05" w:type="dxa"/>
            <w:vAlign w:val="center"/>
          </w:tcPr>
          <w:p w14:paraId="63E3DDA2">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658" w:type="dxa"/>
            <w:vAlign w:val="center"/>
          </w:tcPr>
          <w:p w14:paraId="3B89E7C6">
            <w:pPr>
              <w:adjustRightInd w:val="0"/>
              <w:snapToGrid w:val="0"/>
              <w:spacing w:line="360" w:lineRule="auto"/>
              <w:jc w:val="center"/>
              <w:rPr>
                <w:rFonts w:ascii="宋体" w:hAnsi="宋体"/>
                <w:kern w:val="0"/>
                <w:szCs w:val="21"/>
              </w:rPr>
            </w:pPr>
            <w:r>
              <w:rPr>
                <w:rFonts w:hint="eastAsia" w:ascii="宋体" w:hAnsi="宋体"/>
                <w:kern w:val="0"/>
                <w:szCs w:val="21"/>
              </w:rPr>
              <w:t>具体内容</w:t>
            </w:r>
          </w:p>
        </w:tc>
      </w:tr>
      <w:tr w14:paraId="78A0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03BD31DC">
            <w:pPr>
              <w:adjustRightInd w:val="0"/>
              <w:snapToGrid w:val="0"/>
              <w:spacing w:line="360" w:lineRule="auto"/>
              <w:jc w:val="center"/>
              <w:rPr>
                <w:rFonts w:ascii="宋体" w:hAnsi="宋体"/>
                <w:kern w:val="0"/>
                <w:szCs w:val="21"/>
              </w:rPr>
            </w:pPr>
            <w:r>
              <w:rPr>
                <w:rFonts w:hint="eastAsia" w:ascii="宋体" w:hAnsi="宋体"/>
                <w:kern w:val="0"/>
                <w:szCs w:val="21"/>
              </w:rPr>
              <w:t>1</w:t>
            </w:r>
          </w:p>
        </w:tc>
        <w:tc>
          <w:tcPr>
            <w:tcW w:w="7658" w:type="dxa"/>
            <w:vAlign w:val="center"/>
          </w:tcPr>
          <w:p w14:paraId="5A2E3F03">
            <w:pPr>
              <w:adjustRightInd w:val="0"/>
              <w:snapToGrid w:val="0"/>
              <w:spacing w:line="360" w:lineRule="auto"/>
              <w:jc w:val="left"/>
              <w:rPr>
                <w:rFonts w:hint="eastAsia" w:hAnsi="宋体" w:eastAsia="宋体"/>
                <w:kern w:val="0"/>
                <w:szCs w:val="21"/>
                <w:lang w:eastAsia="zh-CN"/>
              </w:rPr>
            </w:pPr>
            <w:r>
              <w:rPr>
                <w:rFonts w:hint="eastAsia" w:hAnsi="宋体"/>
                <w:kern w:val="0"/>
                <w:szCs w:val="21"/>
                <w:lang w:eastAsia="zh-CN"/>
              </w:rPr>
              <w:t>中标单位需在采购单位要求时间内完成所有工作，并通过采购单位的组织验收，撤场的具体时间由采购单位确定。</w:t>
            </w:r>
          </w:p>
        </w:tc>
      </w:tr>
      <w:tr w14:paraId="53FD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4535D62A">
            <w:pPr>
              <w:adjustRightInd w:val="0"/>
              <w:snapToGrid w:val="0"/>
              <w:spacing w:line="360" w:lineRule="auto"/>
              <w:jc w:val="center"/>
              <w:rPr>
                <w:rFonts w:ascii="宋体" w:hAnsi="宋体"/>
                <w:kern w:val="0"/>
                <w:szCs w:val="21"/>
              </w:rPr>
            </w:pPr>
            <w:r>
              <w:rPr>
                <w:rFonts w:hint="eastAsia" w:ascii="宋体" w:hAnsi="宋体"/>
                <w:kern w:val="0"/>
                <w:szCs w:val="21"/>
              </w:rPr>
              <w:t>2</w:t>
            </w:r>
          </w:p>
        </w:tc>
        <w:tc>
          <w:tcPr>
            <w:tcW w:w="7658" w:type="dxa"/>
            <w:vAlign w:val="center"/>
          </w:tcPr>
          <w:p w14:paraId="6374F59F">
            <w:pPr>
              <w:adjustRightInd w:val="0"/>
              <w:snapToGrid w:val="0"/>
              <w:spacing w:line="360" w:lineRule="auto"/>
              <w:jc w:val="left"/>
              <w:rPr>
                <w:rFonts w:ascii="Times New Roman" w:hAnsi="宋体"/>
                <w:kern w:val="0"/>
                <w:szCs w:val="21"/>
              </w:rPr>
            </w:pPr>
            <w:r>
              <w:rPr>
                <w:rFonts w:hint="eastAsia" w:ascii="Times New Roman" w:hAnsi="宋体"/>
                <w:kern w:val="0"/>
                <w:szCs w:val="21"/>
              </w:rPr>
              <w:t>自合同签订之日</w:t>
            </w:r>
            <w:r>
              <w:rPr>
                <w:rFonts w:hint="eastAsia" w:ascii="Times New Roman" w:hAnsi="宋体"/>
                <w:kern w:val="0"/>
                <w:szCs w:val="21"/>
                <w:highlight w:val="none"/>
              </w:rPr>
              <w:t>起</w:t>
            </w:r>
            <w:r>
              <w:rPr>
                <w:rFonts w:hint="eastAsia" w:ascii="Times New Roman" w:hAnsi="宋体"/>
                <w:kern w:val="0"/>
                <w:szCs w:val="21"/>
                <w:highlight w:val="none"/>
                <w:lang w:eastAsia="zh-CN"/>
              </w:rPr>
              <w:t>至</w:t>
            </w:r>
            <w:r>
              <w:rPr>
                <w:rFonts w:hint="eastAsia" w:ascii="宋体" w:hAnsi="宋体" w:eastAsia="宋体" w:cs="宋体"/>
                <w:b w:val="0"/>
                <w:bCs w:val="0"/>
                <w:sz w:val="21"/>
                <w:szCs w:val="21"/>
                <w:highlight w:val="none"/>
              </w:rPr>
              <w:t>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日</w:t>
            </w:r>
            <w:r>
              <w:rPr>
                <w:rFonts w:hint="eastAsia" w:ascii="Times New Roman" w:hAnsi="宋体"/>
                <w:kern w:val="0"/>
                <w:szCs w:val="21"/>
                <w:highlight w:val="none"/>
                <w:lang w:eastAsia="zh-CN"/>
              </w:rPr>
              <w:t>履行完</w:t>
            </w:r>
            <w:r>
              <w:rPr>
                <w:rFonts w:hint="eastAsia" w:ascii="Times New Roman" w:hAnsi="宋体"/>
                <w:kern w:val="0"/>
                <w:szCs w:val="21"/>
                <w:lang w:eastAsia="zh-CN"/>
              </w:rPr>
              <w:t>毕。</w:t>
            </w:r>
          </w:p>
        </w:tc>
      </w:tr>
      <w:tr w14:paraId="48A5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1984072B">
            <w:pPr>
              <w:adjustRightInd w:val="0"/>
              <w:snapToGrid w:val="0"/>
              <w:spacing w:line="360" w:lineRule="auto"/>
              <w:jc w:val="center"/>
              <w:rPr>
                <w:rFonts w:hint="eastAsia" w:ascii="宋体" w:hAnsi="宋体" w:eastAsia="宋体"/>
                <w:kern w:val="0"/>
                <w:szCs w:val="21"/>
                <w:lang w:val="en-US" w:eastAsia="zh-CN"/>
              </w:rPr>
            </w:pPr>
            <w:r>
              <w:rPr>
                <w:rFonts w:hint="eastAsia" w:ascii="宋体" w:hAnsi="宋体"/>
                <w:kern w:val="0"/>
                <w:szCs w:val="21"/>
                <w:lang w:val="en-US" w:eastAsia="zh-CN"/>
              </w:rPr>
              <w:t>3</w:t>
            </w:r>
          </w:p>
        </w:tc>
        <w:tc>
          <w:tcPr>
            <w:tcW w:w="7658" w:type="dxa"/>
            <w:vAlign w:val="center"/>
          </w:tcPr>
          <w:p w14:paraId="056D58C0">
            <w:pPr>
              <w:adjustRightInd w:val="0"/>
              <w:snapToGrid w:val="0"/>
              <w:spacing w:line="360" w:lineRule="auto"/>
              <w:jc w:val="left"/>
              <w:rPr>
                <w:rFonts w:hint="eastAsia" w:ascii="Times New Roman" w:hAnsi="宋体"/>
                <w:kern w:val="0"/>
                <w:szCs w:val="21"/>
              </w:rPr>
            </w:pPr>
            <w:r>
              <w:rPr>
                <w:rFonts w:hint="eastAsia" w:ascii="Times New Roman" w:hAnsi="宋体"/>
                <w:kern w:val="0"/>
                <w:szCs w:val="21"/>
              </w:rPr>
              <w:t>投标供应商须提供法定代表人（负责人）和项目投标授权代表人在开标日前近一个月的个人社保缴纳查询记录（不限定缴纳单位）；因主管部门原因近一个月的社保证明暂时无法提供的，可往前顺延一个月；无社保缴纳记录或无法提供的需提供相关说明（格式自拟）。未按要求提供材料或投标供应商之间存在法定代表人（负责人）、项目投标授权代表人为同一人、属同一单位或者在同一单位缴纳社保的，按投标无效处理。</w:t>
            </w:r>
          </w:p>
        </w:tc>
      </w:tr>
    </w:tbl>
    <w:p w14:paraId="74DCA98B">
      <w:pPr>
        <w:adjustRightInd w:val="0"/>
        <w:snapToGrid w:val="0"/>
        <w:spacing w:line="360" w:lineRule="auto"/>
        <w:ind w:firstLine="482" w:firstLineChars="200"/>
      </w:pPr>
      <w:r>
        <w:rPr>
          <w:rFonts w:hint="eastAsia" w:ascii="黑体"/>
          <w:b/>
          <w:kern w:val="0"/>
          <w:sz w:val="24"/>
        </w:rPr>
        <w:t>注：上表所列内容为不可负偏离的实质性条款。</w:t>
      </w:r>
    </w:p>
    <w:bookmarkEnd w:id="10"/>
    <w:p w14:paraId="71964F6B">
      <w:pPr>
        <w:pStyle w:val="19"/>
        <w:jc w:val="center"/>
        <w:rPr>
          <w:rFonts w:hint="eastAsia" w:ascii="宋体" w:hAnsi="宋体"/>
          <w:sz w:val="28"/>
          <w:szCs w:val="28"/>
        </w:rPr>
      </w:pPr>
    </w:p>
    <w:p w14:paraId="718181B8">
      <w:pPr>
        <w:pStyle w:val="19"/>
        <w:jc w:val="center"/>
        <w:rPr>
          <w:rFonts w:ascii="宋体" w:hAnsi="宋体"/>
          <w:sz w:val="28"/>
          <w:szCs w:val="28"/>
        </w:rPr>
      </w:pPr>
      <w:r>
        <w:rPr>
          <w:rFonts w:hint="eastAsia" w:ascii="宋体" w:hAnsi="宋体"/>
          <w:sz w:val="28"/>
          <w:szCs w:val="28"/>
        </w:rPr>
        <w:t>三、项目概况</w:t>
      </w:r>
    </w:p>
    <w:p w14:paraId="4E9CD217">
      <w:pPr>
        <w:pStyle w:val="19"/>
      </w:pPr>
      <w:r>
        <w:rPr>
          <w:rFonts w:hint="eastAsia"/>
        </w:rPr>
        <w:t>（一）采购需求</w:t>
      </w:r>
    </w:p>
    <w:tbl>
      <w:tblPr>
        <w:tblStyle w:val="42"/>
        <w:tblW w:w="9515" w:type="dxa"/>
        <w:tblInd w:w="0" w:type="dxa"/>
        <w:tblLayout w:type="fixed"/>
        <w:tblCellMar>
          <w:top w:w="15" w:type="dxa"/>
          <w:left w:w="15" w:type="dxa"/>
          <w:bottom w:w="15" w:type="dxa"/>
          <w:right w:w="15" w:type="dxa"/>
        </w:tblCellMar>
      </w:tblPr>
      <w:tblGrid>
        <w:gridCol w:w="866"/>
        <w:gridCol w:w="3685"/>
        <w:gridCol w:w="921"/>
        <w:gridCol w:w="922"/>
        <w:gridCol w:w="1701"/>
        <w:gridCol w:w="1420"/>
      </w:tblGrid>
      <w:tr w14:paraId="496D2D5D">
        <w:tblPrEx>
          <w:tblCellMar>
            <w:top w:w="15" w:type="dxa"/>
            <w:left w:w="15" w:type="dxa"/>
            <w:bottom w:w="15" w:type="dxa"/>
            <w:right w:w="15" w:type="dxa"/>
          </w:tblCellMar>
        </w:tblPrEx>
        <w:trPr>
          <w:trHeight w:val="689" w:hRule="atLeast"/>
        </w:trPr>
        <w:tc>
          <w:tcPr>
            <w:tcW w:w="866" w:type="dxa"/>
            <w:tcBorders>
              <w:top w:val="single" w:color="000000" w:sz="4" w:space="0"/>
              <w:left w:val="single" w:color="000000" w:sz="4" w:space="0"/>
              <w:right w:val="single" w:color="000000" w:sz="4" w:space="0"/>
            </w:tcBorders>
            <w:vAlign w:val="center"/>
          </w:tcPr>
          <w:p w14:paraId="35E4E39B">
            <w:pPr>
              <w:widowControl/>
              <w:adjustRightInd w:val="0"/>
              <w:snapToGrid w:val="0"/>
              <w:spacing w:line="360" w:lineRule="auto"/>
              <w:jc w:val="center"/>
              <w:textAlignment w:val="center"/>
              <w:rPr>
                <w:rFonts w:hint="eastAsia" w:ascii="宋体" w:hAnsi="宋体" w:eastAsia="宋体" w:cs="宋体"/>
                <w:b/>
                <w:szCs w:val="21"/>
              </w:rPr>
            </w:pPr>
            <w:r>
              <w:rPr>
                <w:rFonts w:hint="eastAsia" w:ascii="宋体" w:hAnsi="宋体" w:eastAsia="宋体" w:cs="宋体"/>
                <w:b/>
                <w:szCs w:val="21"/>
              </w:rPr>
              <w:t>序号</w:t>
            </w:r>
          </w:p>
        </w:tc>
        <w:tc>
          <w:tcPr>
            <w:tcW w:w="3685" w:type="dxa"/>
            <w:tcBorders>
              <w:top w:val="single" w:color="000000" w:sz="4" w:space="0"/>
              <w:left w:val="single" w:color="000000" w:sz="4" w:space="0"/>
              <w:bottom w:val="single" w:color="000000" w:sz="4" w:space="0"/>
              <w:right w:val="single" w:color="000000" w:sz="4" w:space="0"/>
            </w:tcBorders>
            <w:vAlign w:val="center"/>
          </w:tcPr>
          <w:p w14:paraId="1B4EF832">
            <w:pPr>
              <w:widowControl/>
              <w:adjustRightInd w:val="0"/>
              <w:snapToGrid w:val="0"/>
              <w:spacing w:line="360" w:lineRule="auto"/>
              <w:jc w:val="center"/>
              <w:textAlignment w:val="center"/>
              <w:rPr>
                <w:rFonts w:hint="eastAsia" w:ascii="宋体" w:hAnsi="宋体" w:eastAsia="宋体" w:cs="宋体"/>
                <w:b/>
                <w:color w:val="FF0000"/>
                <w:szCs w:val="21"/>
              </w:rPr>
            </w:pPr>
            <w:r>
              <w:rPr>
                <w:rFonts w:hint="eastAsia" w:ascii="宋体" w:hAnsi="宋体" w:eastAsia="宋体" w:cs="宋体"/>
                <w:b/>
                <w:color w:val="FF0000"/>
                <w:szCs w:val="21"/>
              </w:rPr>
              <w:t>标的名称</w:t>
            </w:r>
          </w:p>
        </w:tc>
        <w:tc>
          <w:tcPr>
            <w:tcW w:w="921" w:type="dxa"/>
            <w:tcBorders>
              <w:top w:val="single" w:color="000000" w:sz="4" w:space="0"/>
              <w:left w:val="single" w:color="000000" w:sz="4" w:space="0"/>
              <w:bottom w:val="single" w:color="000000" w:sz="4" w:space="0"/>
              <w:right w:val="single" w:color="000000" w:sz="4" w:space="0"/>
            </w:tcBorders>
            <w:vAlign w:val="center"/>
          </w:tcPr>
          <w:p w14:paraId="66076D62">
            <w:pPr>
              <w:widowControl/>
              <w:adjustRightInd w:val="0"/>
              <w:snapToGrid w:val="0"/>
              <w:spacing w:line="360" w:lineRule="auto"/>
              <w:jc w:val="center"/>
              <w:textAlignment w:val="center"/>
              <w:rPr>
                <w:rFonts w:hint="eastAsia" w:ascii="宋体" w:hAnsi="宋体" w:eastAsia="宋体" w:cs="宋体"/>
                <w:b/>
                <w:szCs w:val="21"/>
              </w:rPr>
            </w:pPr>
            <w:r>
              <w:rPr>
                <w:rFonts w:hint="eastAsia" w:ascii="宋体" w:hAnsi="宋体" w:eastAsia="宋体" w:cs="宋体"/>
                <w:b/>
                <w:szCs w:val="21"/>
              </w:rPr>
              <w:t>数量</w:t>
            </w:r>
          </w:p>
        </w:tc>
        <w:tc>
          <w:tcPr>
            <w:tcW w:w="922" w:type="dxa"/>
            <w:tcBorders>
              <w:top w:val="single" w:color="000000" w:sz="4" w:space="0"/>
              <w:left w:val="single" w:color="000000" w:sz="4" w:space="0"/>
              <w:bottom w:val="single" w:color="000000" w:sz="4" w:space="0"/>
              <w:right w:val="single" w:color="000000" w:sz="4" w:space="0"/>
            </w:tcBorders>
            <w:vAlign w:val="center"/>
          </w:tcPr>
          <w:p w14:paraId="537E3790">
            <w:pPr>
              <w:widowControl/>
              <w:adjustRightInd w:val="0"/>
              <w:snapToGrid w:val="0"/>
              <w:spacing w:line="360" w:lineRule="auto"/>
              <w:jc w:val="center"/>
              <w:textAlignment w:val="center"/>
              <w:rPr>
                <w:rFonts w:hint="eastAsia" w:ascii="宋体" w:hAnsi="宋体" w:eastAsia="宋体" w:cs="宋体"/>
                <w:b/>
                <w:szCs w:val="21"/>
              </w:rPr>
            </w:pPr>
            <w:r>
              <w:rPr>
                <w:rFonts w:hint="eastAsia" w:ascii="宋体" w:hAnsi="宋体" w:eastAsia="宋体" w:cs="宋体"/>
                <w:b/>
                <w:szCs w:val="21"/>
              </w:rPr>
              <w:t>单位</w:t>
            </w:r>
          </w:p>
        </w:tc>
        <w:tc>
          <w:tcPr>
            <w:tcW w:w="1701" w:type="dxa"/>
            <w:tcBorders>
              <w:top w:val="single" w:color="000000" w:sz="4" w:space="0"/>
              <w:left w:val="single" w:color="000000" w:sz="4" w:space="0"/>
              <w:bottom w:val="single" w:color="000000" w:sz="4" w:space="0"/>
              <w:right w:val="single" w:color="000000" w:sz="4" w:space="0"/>
            </w:tcBorders>
            <w:vAlign w:val="center"/>
          </w:tcPr>
          <w:p w14:paraId="3EC7C087">
            <w:pPr>
              <w:widowControl/>
              <w:adjustRightInd w:val="0"/>
              <w:snapToGrid w:val="0"/>
              <w:spacing w:line="360" w:lineRule="auto"/>
              <w:jc w:val="center"/>
              <w:textAlignment w:val="center"/>
              <w:rPr>
                <w:rFonts w:hint="eastAsia" w:ascii="宋体" w:hAnsi="宋体" w:eastAsia="宋体" w:cs="宋体"/>
                <w:b/>
                <w:szCs w:val="21"/>
              </w:rPr>
            </w:pPr>
            <w:r>
              <w:rPr>
                <w:rFonts w:hint="eastAsia" w:ascii="宋体" w:hAnsi="宋体" w:eastAsia="宋体" w:cs="宋体"/>
                <w:b/>
                <w:szCs w:val="21"/>
              </w:rPr>
              <w:t>采购预算金额</w:t>
            </w:r>
          </w:p>
          <w:p w14:paraId="10946A39">
            <w:pPr>
              <w:widowControl/>
              <w:adjustRightInd w:val="0"/>
              <w:snapToGrid w:val="0"/>
              <w:spacing w:line="360" w:lineRule="auto"/>
              <w:jc w:val="center"/>
              <w:textAlignment w:val="center"/>
              <w:rPr>
                <w:rFonts w:hint="eastAsia" w:ascii="宋体" w:hAnsi="宋体" w:eastAsia="宋体" w:cs="宋体"/>
                <w:b/>
                <w:szCs w:val="21"/>
              </w:rPr>
            </w:pPr>
            <w:r>
              <w:rPr>
                <w:rFonts w:hint="eastAsia" w:ascii="宋体" w:hAnsi="宋体" w:eastAsia="宋体" w:cs="宋体"/>
                <w:b/>
                <w:szCs w:val="21"/>
              </w:rPr>
              <w:t>（人民币元）</w:t>
            </w:r>
          </w:p>
        </w:tc>
        <w:tc>
          <w:tcPr>
            <w:tcW w:w="1420" w:type="dxa"/>
            <w:tcBorders>
              <w:top w:val="single" w:color="000000" w:sz="4" w:space="0"/>
              <w:left w:val="single" w:color="000000" w:sz="4" w:space="0"/>
              <w:bottom w:val="single" w:color="000000" w:sz="4" w:space="0"/>
              <w:right w:val="single" w:color="000000" w:sz="4" w:space="0"/>
            </w:tcBorders>
            <w:vAlign w:val="center"/>
          </w:tcPr>
          <w:p w14:paraId="4DD6084B">
            <w:pPr>
              <w:widowControl/>
              <w:adjustRightInd w:val="0"/>
              <w:snapToGrid w:val="0"/>
              <w:spacing w:line="360" w:lineRule="auto"/>
              <w:jc w:val="center"/>
              <w:textAlignment w:val="center"/>
              <w:rPr>
                <w:rFonts w:hint="eastAsia" w:ascii="宋体" w:hAnsi="宋体" w:eastAsia="宋体" w:cs="宋体"/>
                <w:b/>
                <w:szCs w:val="21"/>
              </w:rPr>
            </w:pPr>
            <w:r>
              <w:rPr>
                <w:rFonts w:hint="eastAsia" w:ascii="宋体" w:hAnsi="宋体" w:eastAsia="宋体" w:cs="宋体"/>
                <w:b/>
                <w:szCs w:val="21"/>
              </w:rPr>
              <w:t>备注</w:t>
            </w:r>
          </w:p>
        </w:tc>
      </w:tr>
      <w:tr w14:paraId="374EFB01">
        <w:tblPrEx>
          <w:tblCellMar>
            <w:top w:w="15" w:type="dxa"/>
            <w:left w:w="15" w:type="dxa"/>
            <w:bottom w:w="15" w:type="dxa"/>
            <w:right w:w="15" w:type="dxa"/>
          </w:tblCellMar>
        </w:tblPrEx>
        <w:trPr>
          <w:trHeight w:val="799"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3E405273">
            <w:pPr>
              <w:widowControl/>
              <w:adjustRightInd w:val="0"/>
              <w:snapToGrid w:val="0"/>
              <w:spacing w:line="360" w:lineRule="auto"/>
              <w:jc w:val="center"/>
              <w:textAlignment w:val="center"/>
              <w:rPr>
                <w:rFonts w:hint="eastAsia" w:ascii="宋体" w:hAnsi="宋体" w:eastAsia="宋体" w:cs="宋体"/>
                <w:szCs w:val="21"/>
              </w:rPr>
            </w:pPr>
            <w:r>
              <w:rPr>
                <w:rFonts w:hint="eastAsia" w:ascii="宋体" w:hAnsi="宋体" w:eastAsia="宋体" w:cs="宋体"/>
                <w:szCs w:val="24"/>
              </w:rPr>
              <w:t>1</w:t>
            </w:r>
          </w:p>
        </w:tc>
        <w:tc>
          <w:tcPr>
            <w:tcW w:w="3685" w:type="dxa"/>
            <w:tcBorders>
              <w:top w:val="single" w:color="000000" w:sz="4" w:space="0"/>
              <w:left w:val="single" w:color="000000" w:sz="4" w:space="0"/>
              <w:bottom w:val="single" w:color="000000" w:sz="4" w:space="0"/>
              <w:right w:val="single" w:color="000000" w:sz="4" w:space="0"/>
            </w:tcBorders>
            <w:vAlign w:val="center"/>
          </w:tcPr>
          <w:p w14:paraId="6CA7B4B1">
            <w:pPr>
              <w:widowControl/>
              <w:adjustRightInd w:val="0"/>
              <w:snapToGrid w:val="0"/>
              <w:spacing w:line="360" w:lineRule="auto"/>
              <w:jc w:val="center"/>
              <w:textAlignment w:val="center"/>
              <w:rPr>
                <w:rFonts w:hint="eastAsia" w:ascii="宋体" w:hAnsi="宋体" w:eastAsia="宋体" w:cs="宋体"/>
                <w:szCs w:val="21"/>
                <w:lang w:eastAsia="zh-CN"/>
              </w:rPr>
            </w:pPr>
            <w:r>
              <w:rPr>
                <w:rFonts w:hint="eastAsia" w:ascii="宋体" w:hAnsi="宋体" w:eastAsia="宋体" w:cs="宋体"/>
                <w:snapToGrid w:val="0"/>
                <w:szCs w:val="21"/>
                <w:lang w:eastAsia="zh-CN"/>
              </w:rPr>
              <w:t>夜间经济消费场景氛围营造示范项目</w:t>
            </w:r>
          </w:p>
        </w:tc>
        <w:tc>
          <w:tcPr>
            <w:tcW w:w="921" w:type="dxa"/>
            <w:tcBorders>
              <w:top w:val="single" w:color="000000" w:sz="4" w:space="0"/>
              <w:left w:val="single" w:color="000000" w:sz="4" w:space="0"/>
              <w:bottom w:val="single" w:color="000000" w:sz="4" w:space="0"/>
              <w:right w:val="single" w:color="000000" w:sz="4" w:space="0"/>
            </w:tcBorders>
            <w:vAlign w:val="center"/>
          </w:tcPr>
          <w:p w14:paraId="07041327">
            <w:pPr>
              <w:widowControl/>
              <w:adjustRightInd w:val="0"/>
              <w:snapToGrid w:val="0"/>
              <w:spacing w:line="360" w:lineRule="auto"/>
              <w:jc w:val="center"/>
              <w:textAlignment w:val="center"/>
              <w:rPr>
                <w:rFonts w:hint="eastAsia" w:ascii="宋体" w:hAnsi="宋体" w:eastAsia="宋体" w:cs="宋体"/>
                <w:szCs w:val="21"/>
              </w:rPr>
            </w:pPr>
            <w:r>
              <w:rPr>
                <w:rFonts w:hint="eastAsia" w:ascii="宋体" w:hAnsi="宋体" w:eastAsia="宋体" w:cs="宋体"/>
                <w:szCs w:val="21"/>
              </w:rPr>
              <w:t>1</w:t>
            </w:r>
          </w:p>
        </w:tc>
        <w:tc>
          <w:tcPr>
            <w:tcW w:w="922" w:type="dxa"/>
            <w:tcBorders>
              <w:top w:val="single" w:color="000000" w:sz="4" w:space="0"/>
              <w:left w:val="single" w:color="000000" w:sz="4" w:space="0"/>
              <w:bottom w:val="single" w:color="000000" w:sz="4" w:space="0"/>
              <w:right w:val="single" w:color="000000" w:sz="4" w:space="0"/>
            </w:tcBorders>
            <w:vAlign w:val="center"/>
          </w:tcPr>
          <w:p w14:paraId="2575E1D3">
            <w:pPr>
              <w:widowControl/>
              <w:adjustRightInd w:val="0"/>
              <w:snapToGrid w:val="0"/>
              <w:spacing w:line="360" w:lineRule="auto"/>
              <w:jc w:val="center"/>
              <w:textAlignment w:val="center"/>
              <w:rPr>
                <w:rFonts w:hint="eastAsia" w:ascii="宋体" w:hAnsi="宋体" w:eastAsia="宋体" w:cs="宋体"/>
                <w:szCs w:val="21"/>
              </w:rPr>
            </w:pPr>
            <w:r>
              <w:rPr>
                <w:rFonts w:hint="eastAsia" w:ascii="宋体" w:hAnsi="宋体" w:eastAsia="宋体" w:cs="宋体"/>
                <w:szCs w:val="21"/>
              </w:rPr>
              <w:t>项</w:t>
            </w:r>
          </w:p>
        </w:tc>
        <w:tc>
          <w:tcPr>
            <w:tcW w:w="1701" w:type="dxa"/>
            <w:tcBorders>
              <w:top w:val="single" w:color="000000" w:sz="4" w:space="0"/>
              <w:left w:val="single" w:color="000000" w:sz="4" w:space="0"/>
              <w:bottom w:val="single" w:color="000000" w:sz="4" w:space="0"/>
              <w:right w:val="single" w:color="000000" w:sz="4" w:space="0"/>
            </w:tcBorders>
            <w:vAlign w:val="center"/>
          </w:tcPr>
          <w:p w14:paraId="3C47980C">
            <w:pPr>
              <w:widowControl/>
              <w:adjustRightInd w:val="0"/>
              <w:snapToGrid w:val="0"/>
              <w:spacing w:line="360" w:lineRule="auto"/>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r>
              <w:rPr>
                <w:rFonts w:hint="eastAsia" w:ascii="宋体" w:hAnsi="宋体" w:cs="宋体"/>
                <w:szCs w:val="21"/>
                <w:lang w:val="en-US" w:eastAsia="zh-CN"/>
              </w:rPr>
              <w:t>260</w:t>
            </w:r>
            <w:r>
              <w:rPr>
                <w:rFonts w:hint="eastAsia" w:ascii="宋体" w:hAnsi="宋体" w:eastAsia="宋体" w:cs="宋体"/>
                <w:szCs w:val="21"/>
                <w:lang w:val="en-US" w:eastAsia="zh-CN"/>
              </w:rPr>
              <w:t>,000.00</w:t>
            </w:r>
          </w:p>
        </w:tc>
        <w:tc>
          <w:tcPr>
            <w:tcW w:w="1420" w:type="dxa"/>
            <w:tcBorders>
              <w:top w:val="single" w:color="000000" w:sz="4" w:space="0"/>
              <w:left w:val="single" w:color="000000" w:sz="4" w:space="0"/>
              <w:bottom w:val="single" w:color="000000" w:sz="4" w:space="0"/>
              <w:right w:val="single" w:color="000000" w:sz="4" w:space="0"/>
            </w:tcBorders>
            <w:vAlign w:val="center"/>
          </w:tcPr>
          <w:p w14:paraId="1BC6DCBA">
            <w:pPr>
              <w:widowControl/>
              <w:adjustRightInd w:val="0"/>
              <w:snapToGrid w:val="0"/>
              <w:spacing w:line="360" w:lineRule="auto"/>
              <w:jc w:val="center"/>
              <w:textAlignment w:val="center"/>
              <w:rPr>
                <w:rFonts w:hint="eastAsia" w:ascii="宋体" w:hAnsi="宋体" w:eastAsia="宋体" w:cs="宋体"/>
                <w:szCs w:val="21"/>
              </w:rPr>
            </w:pPr>
            <w:r>
              <w:rPr>
                <w:rFonts w:hint="eastAsia" w:ascii="宋体" w:hAnsi="宋体" w:eastAsia="宋体" w:cs="宋体"/>
                <w:szCs w:val="21"/>
              </w:rPr>
              <w:t>无</w:t>
            </w:r>
          </w:p>
        </w:tc>
      </w:tr>
    </w:tbl>
    <w:p w14:paraId="53B585D9">
      <w:pPr>
        <w:pStyle w:val="19"/>
        <w:rPr>
          <w:rFonts w:hint="eastAsia" w:ascii="宋体" w:hAnsi="宋体" w:eastAsia="宋体" w:cs="宋体"/>
          <w:sz w:val="21"/>
          <w:szCs w:val="21"/>
          <w:lang w:eastAsia="zh-CN"/>
        </w:rPr>
      </w:pPr>
      <w:r>
        <w:rPr>
          <w:rFonts w:hint="eastAsia"/>
        </w:rPr>
        <w:t>（二）</w:t>
      </w:r>
      <w:r>
        <w:rPr>
          <w:rFonts w:hint="eastAsia" w:ascii="宋体" w:hAnsi="宋体" w:eastAsia="宋体" w:cs="宋体"/>
          <w:sz w:val="21"/>
          <w:szCs w:val="21"/>
        </w:rPr>
        <w:t>项目</w:t>
      </w:r>
      <w:r>
        <w:rPr>
          <w:rFonts w:hint="eastAsia" w:ascii="宋体" w:hAnsi="宋体" w:eastAsia="宋体" w:cs="宋体"/>
          <w:sz w:val="21"/>
          <w:szCs w:val="21"/>
          <w:lang w:eastAsia="zh-CN"/>
        </w:rPr>
        <w:t>概况</w:t>
      </w:r>
    </w:p>
    <w:p w14:paraId="1B2F562A">
      <w:pPr>
        <w:keepNext w:val="0"/>
        <w:keepLines w:val="0"/>
        <w:pageBreakBefore w:val="0"/>
        <w:widowControl/>
        <w:kinsoku/>
        <w:wordWrap/>
        <w:overflowPunct/>
        <w:topLinePunct w:val="0"/>
        <w:autoSpaceDE/>
        <w:autoSpaceDN/>
        <w:bidi w:val="0"/>
        <w:adjustRightInd/>
        <w:snapToGrid/>
        <w:spacing w:line="360" w:lineRule="auto"/>
        <w:ind w:firstLine="424" w:firstLineChars="202"/>
        <w:textAlignment w:val="auto"/>
        <w:rPr>
          <w:rFonts w:hint="eastAsia" w:asciiTheme="minorEastAsia" w:hAnsiTheme="minorEastAsia" w:eastAsiaTheme="minorEastAsia"/>
          <w:szCs w:val="24"/>
          <w:lang w:eastAsia="zh-CN"/>
        </w:rPr>
      </w:pPr>
      <w:r>
        <w:rPr>
          <w:rFonts w:hint="eastAsia" w:ascii="宋体" w:hAnsi="宋体" w:eastAsia="宋体" w:cs="宋体"/>
          <w:sz w:val="21"/>
          <w:szCs w:val="21"/>
          <w:lang w:eastAsia="zh-CN"/>
        </w:rPr>
        <w:t>本项目结合山海连城实施方案中已完成的“五园连通”项目，重点选取莲花山公园-深业上城-笔架山公园重要路线，在该路径节点及其周边区域策划丰富多彩的夜间文化活动及精心布置</w:t>
      </w:r>
      <w:r>
        <w:rPr>
          <w:rFonts w:hint="eastAsia" w:ascii="宋体" w:hAnsi="宋体" w:cs="宋体"/>
          <w:sz w:val="21"/>
          <w:szCs w:val="21"/>
          <w:lang w:eastAsia="zh-CN"/>
        </w:rPr>
        <w:t>光影作品</w:t>
      </w:r>
      <w:r>
        <w:rPr>
          <w:rFonts w:hint="eastAsia" w:ascii="宋体" w:hAnsi="宋体" w:eastAsia="宋体" w:cs="宋体"/>
          <w:sz w:val="21"/>
          <w:szCs w:val="21"/>
          <w:lang w:eastAsia="zh-CN"/>
        </w:rPr>
        <w:t>，构建独具特色的夜间经济消费场景，进一步丰富市民的夜间文化生活。此举旨在吸引广大市民游客前来打卡拍照，从而打造成为新兴的夜间文旅地标，有效促进周边商圈的消费活力，进一步拉动夜间经济的稳步增长，并推动夜间文旅产业的繁荣发展。</w:t>
      </w:r>
    </w:p>
    <w:p w14:paraId="57FC3B65">
      <w:pPr>
        <w:autoSpaceDE w:val="0"/>
        <w:autoSpaceDN w:val="0"/>
        <w:adjustRightInd w:val="0"/>
        <w:spacing w:line="360" w:lineRule="auto"/>
        <w:ind w:firstLine="424" w:firstLineChars="176"/>
        <w:jc w:val="left"/>
        <w:rPr>
          <w:rFonts w:ascii="仿宋_GB2312" w:hAnsi="Times New Roman" w:eastAsia="仿宋_GB2312"/>
          <w:b/>
          <w:sz w:val="24"/>
          <w:szCs w:val="24"/>
        </w:rPr>
      </w:pPr>
      <w:r>
        <w:rPr>
          <w:rFonts w:hint="eastAsia" w:ascii="仿宋_GB2312" w:hAnsi="Times New Roman" w:eastAsia="仿宋_GB2312"/>
          <w:b/>
          <w:sz w:val="24"/>
          <w:szCs w:val="24"/>
        </w:rPr>
        <w:t>备注：</w:t>
      </w:r>
    </w:p>
    <w:p w14:paraId="41378FB7">
      <w:pPr>
        <w:autoSpaceDE w:val="0"/>
        <w:autoSpaceDN w:val="0"/>
        <w:adjustRightInd w:val="0"/>
        <w:spacing w:line="360" w:lineRule="auto"/>
        <w:ind w:firstLine="424" w:firstLineChars="176"/>
        <w:jc w:val="left"/>
        <w:rPr>
          <w:rFonts w:ascii="仿宋_GB2312" w:hAnsi="Times New Roman" w:eastAsia="仿宋_GB2312"/>
          <w:b/>
          <w:sz w:val="24"/>
          <w:szCs w:val="24"/>
        </w:rPr>
      </w:pPr>
      <w:r>
        <w:rPr>
          <w:rFonts w:hint="eastAsia" w:ascii="仿宋_GB2312" w:hAnsi="Times New Roman" w:eastAsia="仿宋_GB2312"/>
          <w:b/>
          <w:sz w:val="24"/>
          <w:szCs w:val="24"/>
        </w:rPr>
        <w:t>1、本项目需求中出现的工艺、材料、设备或参照的品牌等仅为方便描述而没有限制性，投标人可以在其提供的文件资料中选用替代标准，但这些替代标准要优于或相当于项目需求中要求的标准。</w:t>
      </w:r>
    </w:p>
    <w:p w14:paraId="071D4038">
      <w:pPr>
        <w:autoSpaceDE w:val="0"/>
        <w:autoSpaceDN w:val="0"/>
        <w:adjustRightInd w:val="0"/>
        <w:spacing w:line="360" w:lineRule="auto"/>
        <w:ind w:firstLine="424" w:firstLineChars="176"/>
        <w:jc w:val="left"/>
        <w:rPr>
          <w:rFonts w:ascii="仿宋_GB2312" w:hAnsi="Times New Roman" w:eastAsia="仿宋_GB2312"/>
          <w:b/>
          <w:sz w:val="24"/>
          <w:szCs w:val="24"/>
        </w:rPr>
      </w:pPr>
      <w:r>
        <w:rPr>
          <w:rFonts w:hint="eastAsia" w:ascii="仿宋_GB2312" w:hAnsi="Times New Roman" w:eastAsia="仿宋_GB2312"/>
          <w:b/>
          <w:sz w:val="24"/>
          <w:szCs w:val="24"/>
        </w:rPr>
        <w:t>2、如要求提供证明材料，投标文件需提供相应证明材料扫描件（或截图等）并注明证明材料在投标文件中的具体位置，未按要求提供证明材料或未注明证明材料的具体位置或提供的证明资料显示不符合招标文件要求、模糊不清无法判断或未显示是否满足招标文件要求的，均视为负偏离；未要求提供相应证明材料的，投标人可以不提供，如果投标人提供了相应的证明材料，则按照上述对应情形处理；投标人提供多份证明材料且证明材料信息相互冲突的，以不利于投标人的那份证明材料作为判断是否符合采购需求的响应内容。</w:t>
      </w:r>
    </w:p>
    <w:p w14:paraId="2A029353">
      <w:pPr>
        <w:autoSpaceDE w:val="0"/>
        <w:autoSpaceDN w:val="0"/>
        <w:adjustRightInd w:val="0"/>
        <w:spacing w:line="360" w:lineRule="auto"/>
        <w:ind w:firstLine="424" w:firstLineChars="176"/>
        <w:jc w:val="left"/>
        <w:rPr>
          <w:rFonts w:ascii="仿宋_GB2312" w:hAnsi="Times New Roman" w:eastAsia="仿宋_GB2312"/>
          <w:b/>
          <w:sz w:val="24"/>
          <w:szCs w:val="24"/>
        </w:rPr>
      </w:pPr>
      <w:r>
        <w:rPr>
          <w:rFonts w:hint="eastAsia" w:ascii="仿宋_GB2312" w:hAnsi="Times New Roman" w:eastAsia="仿宋_GB2312"/>
          <w:b/>
          <w:sz w:val="24"/>
          <w:szCs w:val="24"/>
        </w:rPr>
        <w:t>3、投标人提供证书或检测报告等证明材料的，颁发证书、出具报告的机构须是合法设立的机构，且具有颁发相应证书或者出具相应报告的资质。</w:t>
      </w:r>
    </w:p>
    <w:p w14:paraId="344932D6">
      <w:pPr>
        <w:autoSpaceDE w:val="0"/>
        <w:autoSpaceDN w:val="0"/>
        <w:adjustRightInd w:val="0"/>
        <w:spacing w:line="360" w:lineRule="auto"/>
        <w:ind w:firstLine="424" w:firstLineChars="176"/>
        <w:jc w:val="left"/>
        <w:rPr>
          <w:rFonts w:ascii="仿宋_GB2312" w:hAnsi="Times New Roman" w:eastAsia="仿宋_GB2312"/>
          <w:b/>
          <w:sz w:val="24"/>
          <w:szCs w:val="24"/>
        </w:rPr>
      </w:pPr>
      <w:r>
        <w:rPr>
          <w:rFonts w:hint="eastAsia" w:ascii="仿宋_GB2312" w:hAnsi="Times New Roman" w:eastAsia="仿宋_GB2312"/>
          <w:b/>
          <w:sz w:val="24"/>
          <w:szCs w:val="24"/>
          <w:highlight w:val="yellow"/>
        </w:rPr>
        <w:t>4、加注★的条款为不可负偏离的实质性条款，任一项未响应或不满足要求的，将导致投标无效。</w:t>
      </w:r>
    </w:p>
    <w:p w14:paraId="6EFA33D3">
      <w:pPr>
        <w:pStyle w:val="19"/>
        <w:jc w:val="center"/>
        <w:rPr>
          <w:rFonts w:hint="eastAsia" w:ascii="宋体" w:hAnsi="宋体"/>
          <w:sz w:val="28"/>
          <w:szCs w:val="28"/>
        </w:rPr>
      </w:pPr>
    </w:p>
    <w:p w14:paraId="6EB7D699">
      <w:pPr>
        <w:keepNext w:val="0"/>
        <w:keepLines w:val="0"/>
        <w:pageBreakBefore w:val="0"/>
        <w:widowControl w:val="0"/>
        <w:kinsoku/>
        <w:overflowPunct/>
        <w:topLinePunct w:val="0"/>
        <w:autoSpaceDE/>
        <w:autoSpaceDN/>
        <w:bidi w:val="0"/>
        <w:adjustRightInd w:val="0"/>
        <w:spacing w:line="360" w:lineRule="auto"/>
        <w:jc w:val="center"/>
        <w:textAlignment w:val="baseline"/>
        <w:outlineLvl w:val="1"/>
        <w:rPr>
          <w:rFonts w:hint="eastAsia" w:ascii="宋体" w:hAnsi="宋体" w:eastAsia="宋体" w:cs="宋体"/>
          <w:b/>
          <w:bCs/>
          <w:kern w:val="0"/>
          <w:sz w:val="28"/>
          <w:szCs w:val="28"/>
        </w:rPr>
      </w:pPr>
      <w:r>
        <w:rPr>
          <w:rFonts w:hint="eastAsia" w:ascii="宋体" w:hAnsi="宋体" w:eastAsia="宋体" w:cs="宋体"/>
          <w:b/>
          <w:bCs/>
          <w:kern w:val="0"/>
          <w:sz w:val="28"/>
          <w:szCs w:val="28"/>
        </w:rPr>
        <w:t>四、项目服务要求</w:t>
      </w:r>
    </w:p>
    <w:p w14:paraId="3A0AD602">
      <w:pPr>
        <w:keepNext w:val="0"/>
        <w:keepLines w:val="0"/>
        <w:pageBreakBefore w:val="0"/>
        <w:widowControl w:val="0"/>
        <w:kinsoku/>
        <w:wordWrap/>
        <w:overflowPunct/>
        <w:topLinePunct w:val="0"/>
        <w:autoSpaceDE/>
        <w:autoSpaceDN/>
        <w:bidi w:val="0"/>
        <w:adjustRightInd w:val="0"/>
        <w:spacing w:line="360" w:lineRule="auto"/>
        <w:ind w:left="0" w:firstLine="422" w:firstLineChars="200"/>
        <w:jc w:val="both"/>
        <w:textAlignment w:val="baseline"/>
        <w:outlineLvl w:val="1"/>
        <w:rPr>
          <w:rFonts w:hint="eastAsia" w:ascii="宋体" w:hAnsi="宋体" w:eastAsia="宋体" w:cs="宋体"/>
          <w:b w:val="0"/>
          <w:bCs w:val="0"/>
          <w:kern w:val="0"/>
          <w:sz w:val="21"/>
          <w:szCs w:val="21"/>
          <w:lang w:eastAsia="zh-CN"/>
        </w:rPr>
      </w:pPr>
      <w:r>
        <w:rPr>
          <w:rFonts w:hint="eastAsia" w:ascii="宋体" w:hAnsi="宋体" w:eastAsia="宋体" w:cs="宋体"/>
          <w:b/>
          <w:bCs/>
          <w:kern w:val="0"/>
          <w:sz w:val="21"/>
          <w:szCs w:val="21"/>
          <w:lang w:eastAsia="zh-CN"/>
        </w:rPr>
        <w:t>（一）服务</w:t>
      </w:r>
      <w:r>
        <w:rPr>
          <w:rFonts w:hint="eastAsia" w:ascii="宋体" w:hAnsi="宋体" w:eastAsia="宋体" w:cs="宋体"/>
          <w:b/>
          <w:bCs/>
          <w:kern w:val="0"/>
          <w:sz w:val="21"/>
          <w:szCs w:val="21"/>
          <w:lang w:val="en-US" w:eastAsia="zh-CN"/>
        </w:rPr>
        <w:t>要求：</w:t>
      </w:r>
    </w:p>
    <w:p w14:paraId="1EC14E4C">
      <w:pPr>
        <w:keepNext w:val="0"/>
        <w:keepLines w:val="0"/>
        <w:pageBreakBefore w:val="0"/>
        <w:widowControl w:val="0"/>
        <w:kinsoku/>
        <w:wordWrap/>
        <w:overflowPunct/>
        <w:topLinePunct w:val="0"/>
        <w:autoSpaceDE/>
        <w:autoSpaceDN/>
        <w:bidi w:val="0"/>
        <w:adjustRightInd w:val="0"/>
        <w:spacing w:line="360" w:lineRule="auto"/>
        <w:ind w:left="0" w:firstLine="420" w:firstLineChars="200"/>
        <w:jc w:val="both"/>
        <w:textAlignment w:val="baseline"/>
        <w:outlineLvl w:val="1"/>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lang w:eastAsia="zh-CN"/>
        </w:rPr>
        <w:t>本项目服务需求主要是在莲花山公园-深业上城-笔架山公园重要路线节点对采购单位确定实施的内容进行串联策划，并在要求时间内完成落地，包括但不限</w:t>
      </w:r>
      <w:r>
        <w:rPr>
          <w:rFonts w:hint="eastAsia" w:ascii="宋体" w:hAnsi="宋体" w:eastAsia="宋体" w:cs="宋体"/>
          <w:kern w:val="0"/>
          <w:sz w:val="21"/>
          <w:szCs w:val="21"/>
          <w:vertAlign w:val="baseline"/>
          <w:lang w:val="en-US" w:eastAsia="zh-CN"/>
        </w:rPr>
        <w:t>旋栖</w:t>
      </w:r>
      <w:r>
        <w:rPr>
          <w:rFonts w:hint="eastAsia" w:ascii="宋体" w:hAnsi="宋体" w:eastAsia="宋体" w:cs="宋体"/>
          <w:b w:val="0"/>
          <w:bCs w:val="0"/>
          <w:kern w:val="0"/>
          <w:sz w:val="21"/>
          <w:szCs w:val="21"/>
          <w:lang w:eastAsia="zh-CN"/>
        </w:rPr>
        <w:t>、</w:t>
      </w:r>
      <w:r>
        <w:rPr>
          <w:rFonts w:hint="eastAsia" w:ascii="宋体" w:hAnsi="宋体" w:eastAsia="宋体" w:cs="宋体"/>
          <w:kern w:val="0"/>
          <w:sz w:val="21"/>
          <w:szCs w:val="21"/>
          <w:vertAlign w:val="baseline"/>
          <w:lang w:val="en-US" w:eastAsia="zh-CN"/>
        </w:rPr>
        <w:t>Bob the Nice World</w:t>
      </w:r>
      <w:r>
        <w:rPr>
          <w:rFonts w:hint="eastAsia" w:ascii="宋体" w:hAnsi="宋体" w:eastAsia="宋体" w:cs="宋体"/>
          <w:b w:val="0"/>
          <w:bCs w:val="0"/>
          <w:kern w:val="0"/>
          <w:sz w:val="21"/>
          <w:szCs w:val="21"/>
          <w:lang w:eastAsia="zh-CN"/>
        </w:rPr>
        <w:t>、</w:t>
      </w:r>
      <w:r>
        <w:rPr>
          <w:rFonts w:hint="eastAsia" w:ascii="宋体" w:hAnsi="宋体" w:cs="宋体"/>
          <w:b w:val="0"/>
          <w:bCs w:val="0"/>
          <w:kern w:val="0"/>
          <w:sz w:val="21"/>
          <w:szCs w:val="21"/>
          <w:lang w:eastAsia="zh-CN"/>
        </w:rPr>
        <w:t>缓存池</w:t>
      </w:r>
      <w:r>
        <w:rPr>
          <w:rFonts w:hint="eastAsia" w:ascii="宋体" w:hAnsi="宋体" w:eastAsia="宋体" w:cs="宋体"/>
          <w:b w:val="0"/>
          <w:bCs w:val="0"/>
          <w:kern w:val="0"/>
          <w:sz w:val="21"/>
          <w:szCs w:val="21"/>
          <w:lang w:val="en-US" w:eastAsia="zh-CN"/>
        </w:rPr>
        <w:t>等</w:t>
      </w:r>
      <w:r>
        <w:rPr>
          <w:rFonts w:hint="eastAsia" w:ascii="宋体" w:hAnsi="宋体" w:cs="宋体"/>
          <w:b w:val="0"/>
          <w:bCs w:val="0"/>
          <w:kern w:val="0"/>
          <w:sz w:val="21"/>
          <w:szCs w:val="21"/>
          <w:lang w:val="en-US" w:eastAsia="zh-CN"/>
        </w:rPr>
        <w:t>三</w:t>
      </w:r>
      <w:r>
        <w:rPr>
          <w:rFonts w:hint="eastAsia" w:ascii="宋体" w:hAnsi="宋体" w:eastAsia="宋体" w:cs="宋体"/>
          <w:b w:val="0"/>
          <w:bCs w:val="0"/>
          <w:kern w:val="0"/>
          <w:sz w:val="21"/>
          <w:szCs w:val="21"/>
          <w:lang w:val="en-US" w:eastAsia="zh-CN"/>
        </w:rPr>
        <w:t>组光影作品布置，光的捉迷藏活动组织，以及采购及投标单位认为可新增的实施内容，打造优质的夜间消费场景，吸引市民游客打卡消费。</w:t>
      </w:r>
    </w:p>
    <w:p w14:paraId="44651CB7">
      <w:pPr>
        <w:pStyle w:val="51"/>
        <w:keepNext w:val="0"/>
        <w:keepLines w:val="0"/>
        <w:pageBreakBefore w:val="0"/>
        <w:widowControl w:val="0"/>
        <w:numPr>
          <w:ilvl w:val="0"/>
          <w:numId w:val="0"/>
        </w:numPr>
        <w:kinsoku/>
        <w:wordWrap/>
        <w:overflowPunct/>
        <w:topLinePunct w:val="0"/>
        <w:autoSpaceDE/>
        <w:autoSpaceDN/>
        <w:bidi w:val="0"/>
        <w:spacing w:before="0" w:after="0" w:line="360" w:lineRule="auto"/>
        <w:ind w:left="0" w:firstLine="460" w:firstLineChars="200"/>
        <w:rPr>
          <w:rFonts w:hint="eastAsia" w:ascii="宋体" w:hAnsi="宋体" w:eastAsia="宋体" w:cs="宋体"/>
          <w:b w:val="0"/>
          <w:bCs w:val="0"/>
          <w:kern w:val="0"/>
          <w:sz w:val="21"/>
          <w:szCs w:val="21"/>
          <w:lang w:val="en-US" w:eastAsia="zh-CN"/>
        </w:rPr>
      </w:pPr>
      <w:r>
        <w:rPr>
          <w:rFonts w:hint="eastAsia" w:ascii="宋体" w:hAnsi="宋体" w:eastAsia="宋体" w:cs="宋体"/>
          <w:b w:val="0"/>
          <w:bCs w:val="0"/>
          <w:spacing w:val="10"/>
          <w:kern w:val="0"/>
          <w:sz w:val="21"/>
          <w:szCs w:val="21"/>
          <w:lang w:val="en-US" w:eastAsia="zh-CN" w:bidi="ar-SA"/>
        </w:rPr>
        <w:t>1、</w:t>
      </w:r>
      <w:r>
        <w:rPr>
          <w:rFonts w:hint="eastAsia" w:ascii="宋体" w:hAnsi="宋体" w:cs="宋体"/>
          <w:b w:val="0"/>
          <w:bCs w:val="0"/>
          <w:kern w:val="0"/>
          <w:sz w:val="21"/>
          <w:szCs w:val="21"/>
          <w:lang w:val="en-US" w:eastAsia="zh-CN"/>
        </w:rPr>
        <w:t>三</w:t>
      </w:r>
      <w:r>
        <w:rPr>
          <w:rFonts w:hint="eastAsia" w:ascii="宋体" w:hAnsi="宋体" w:eastAsia="宋体" w:cs="宋体"/>
          <w:b w:val="0"/>
          <w:bCs w:val="0"/>
          <w:kern w:val="0"/>
          <w:sz w:val="21"/>
          <w:szCs w:val="21"/>
          <w:lang w:val="en-US" w:eastAsia="zh-CN"/>
        </w:rPr>
        <w:t>组光影作品布置</w:t>
      </w:r>
    </w:p>
    <w:p w14:paraId="3C401602">
      <w:pPr>
        <w:pStyle w:val="51"/>
        <w:keepNext w:val="0"/>
        <w:keepLines w:val="0"/>
        <w:pageBreakBefore w:val="0"/>
        <w:widowControl w:val="0"/>
        <w:numPr>
          <w:ilvl w:val="0"/>
          <w:numId w:val="0"/>
        </w:numPr>
        <w:kinsoku/>
        <w:overflowPunct/>
        <w:topLinePunct w:val="0"/>
        <w:autoSpaceDE/>
        <w:autoSpaceDN/>
        <w:bidi w:val="0"/>
        <w:spacing w:before="0" w:after="0" w:line="360" w:lineRule="auto"/>
        <w:ind w:firstLine="420" w:firstLineChars="200"/>
        <w:rPr>
          <w:rFonts w:hint="eastAsia" w:ascii="宋体" w:hAnsi="宋体" w:eastAsia="宋体" w:cs="宋体"/>
          <w:smallCaps w:val="0"/>
          <w:spacing w:val="0"/>
          <w:kern w:val="0"/>
          <w:sz w:val="21"/>
          <w:szCs w:val="21"/>
          <w:lang w:val="en-US" w:eastAsia="zh-CN" w:bidi="ar-SA"/>
        </w:rPr>
      </w:pPr>
      <w:r>
        <w:rPr>
          <w:rFonts w:hint="eastAsia" w:ascii="宋体" w:hAnsi="宋体" w:eastAsia="宋体" w:cs="宋体"/>
          <w:smallCaps w:val="0"/>
          <w:spacing w:val="0"/>
          <w:kern w:val="0"/>
          <w:sz w:val="21"/>
          <w:szCs w:val="21"/>
          <w:lang w:val="en-US" w:eastAsia="zh-CN" w:bidi="ar-SA"/>
        </w:rPr>
        <w:t>（</w:t>
      </w:r>
      <w:r>
        <w:rPr>
          <w:rFonts w:hint="eastAsia" w:ascii="宋体" w:hAnsi="宋体" w:cs="宋体"/>
          <w:smallCaps w:val="0"/>
          <w:spacing w:val="0"/>
          <w:kern w:val="0"/>
          <w:sz w:val="21"/>
          <w:szCs w:val="21"/>
          <w:lang w:val="en-US" w:eastAsia="zh-CN" w:bidi="ar-SA"/>
        </w:rPr>
        <w:t>1</w:t>
      </w:r>
      <w:r>
        <w:rPr>
          <w:rFonts w:hint="eastAsia" w:ascii="宋体" w:hAnsi="宋体" w:eastAsia="宋体" w:cs="宋体"/>
          <w:smallCaps w:val="0"/>
          <w:spacing w:val="0"/>
          <w:kern w:val="0"/>
          <w:sz w:val="21"/>
          <w:szCs w:val="21"/>
          <w:lang w:val="en-US" w:eastAsia="zh-CN" w:bidi="ar-SA"/>
        </w:rPr>
        <w:t>）《</w:t>
      </w:r>
      <w:r>
        <w:rPr>
          <w:rFonts w:hint="eastAsia" w:ascii="宋体" w:hAnsi="宋体" w:eastAsia="宋体" w:cs="宋体"/>
          <w:spacing w:val="0"/>
          <w:kern w:val="0"/>
          <w:sz w:val="21"/>
          <w:szCs w:val="21"/>
          <w:vertAlign w:val="baseline"/>
          <w:lang w:val="en-US" w:eastAsia="zh-CN"/>
        </w:rPr>
        <w:t>旋栖Helix Seats</w:t>
      </w:r>
      <w:r>
        <w:rPr>
          <w:rFonts w:hint="eastAsia" w:ascii="宋体" w:hAnsi="宋体" w:eastAsia="宋体" w:cs="宋体"/>
          <w:smallCaps w:val="0"/>
          <w:spacing w:val="0"/>
          <w:kern w:val="0"/>
          <w:sz w:val="21"/>
          <w:szCs w:val="21"/>
          <w:lang w:val="en-US" w:eastAsia="zh-CN" w:bidi="ar-SA"/>
        </w:rPr>
        <w:t>》，作者Pneuhaus，来自美国，该作品是一件互动公共灯光装置，旨在探讨公共空间中的人际互动与感知体验。作品由两个交织的螺旋形态构成，为坐在其中的观众营造出独特的包围感，增强了人与空间之间的关系。装置内部嵌入的互动编程 LED 灯根据使用者的动态压力变化，呈现出迷人的光影效果，创造出一种生动且富有参与感的空间氛围。该作品主要为气模装置，总长</w:t>
      </w:r>
      <w:r>
        <w:rPr>
          <w:rFonts w:hint="eastAsia" w:ascii="宋体" w:hAnsi="宋体" w:cs="宋体"/>
          <w:spacing w:val="0"/>
          <w:kern w:val="0"/>
          <w:sz w:val="21"/>
          <w:szCs w:val="21"/>
          <w:lang w:val="en-US" w:eastAsia="zh-CN" w:bidi="ar-SA"/>
        </w:rPr>
        <w:t>约</w:t>
      </w:r>
      <w:r>
        <w:rPr>
          <w:rFonts w:hint="eastAsia" w:ascii="宋体" w:hAnsi="宋体" w:eastAsia="宋体" w:cs="宋体"/>
          <w:smallCaps w:val="0"/>
          <w:spacing w:val="0"/>
          <w:kern w:val="0"/>
          <w:sz w:val="21"/>
          <w:szCs w:val="21"/>
          <w:lang w:val="en-US" w:eastAsia="zh-CN" w:bidi="ar-SA"/>
        </w:rPr>
        <w:t>18米，宽</w:t>
      </w:r>
      <w:r>
        <w:rPr>
          <w:rFonts w:hint="eastAsia" w:ascii="宋体" w:hAnsi="宋体" w:cs="宋体"/>
          <w:spacing w:val="0"/>
          <w:kern w:val="0"/>
          <w:sz w:val="21"/>
          <w:szCs w:val="21"/>
          <w:lang w:val="en-US" w:eastAsia="zh-CN" w:bidi="ar-SA"/>
        </w:rPr>
        <w:t>约</w:t>
      </w:r>
      <w:r>
        <w:rPr>
          <w:rFonts w:hint="eastAsia" w:ascii="宋体" w:hAnsi="宋体" w:eastAsia="宋体" w:cs="宋体"/>
          <w:smallCaps w:val="0"/>
          <w:spacing w:val="0"/>
          <w:kern w:val="0"/>
          <w:sz w:val="21"/>
          <w:szCs w:val="21"/>
          <w:lang w:val="en-US" w:eastAsia="zh-CN" w:bidi="ar-SA"/>
        </w:rPr>
        <w:t>3.2米，高</w:t>
      </w:r>
      <w:r>
        <w:rPr>
          <w:rFonts w:hint="eastAsia" w:ascii="宋体" w:hAnsi="宋体" w:cs="宋体"/>
          <w:spacing w:val="0"/>
          <w:kern w:val="0"/>
          <w:sz w:val="21"/>
          <w:szCs w:val="21"/>
          <w:lang w:val="en-US" w:eastAsia="zh-CN" w:bidi="ar-SA"/>
        </w:rPr>
        <w:t>约</w:t>
      </w:r>
      <w:r>
        <w:rPr>
          <w:rFonts w:hint="eastAsia" w:ascii="宋体" w:hAnsi="宋体" w:eastAsia="宋体" w:cs="宋体"/>
          <w:smallCaps w:val="0"/>
          <w:spacing w:val="0"/>
          <w:kern w:val="0"/>
          <w:sz w:val="21"/>
          <w:szCs w:val="21"/>
          <w:lang w:val="en-US" w:eastAsia="zh-CN" w:bidi="ar-SA"/>
        </w:rPr>
        <w:t>2.74米，内嵌感应LED灯、鼓风机、配重等材料。具体以实施方案为准</w:t>
      </w:r>
      <w:r>
        <w:rPr>
          <w:rFonts w:hint="default" w:ascii="宋体" w:hAnsi="宋体" w:eastAsia="宋体" w:cs="宋体"/>
          <w:smallCaps w:val="0"/>
          <w:spacing w:val="0"/>
          <w:kern w:val="0"/>
          <w:sz w:val="21"/>
          <w:szCs w:val="21"/>
          <w:lang w:val="en-US" w:eastAsia="zh-CN" w:bidi="ar-SA"/>
        </w:rPr>
        <w:t>。</w:t>
      </w:r>
    </w:p>
    <w:p w14:paraId="31DC83EC">
      <w:pPr>
        <w:pStyle w:val="51"/>
        <w:keepNext w:val="0"/>
        <w:keepLines w:val="0"/>
        <w:pageBreakBefore w:val="0"/>
        <w:widowControl w:val="0"/>
        <w:numPr>
          <w:ilvl w:val="-1"/>
          <w:numId w:val="0"/>
        </w:numPr>
        <w:kinsoku/>
        <w:overflowPunct/>
        <w:topLinePunct w:val="0"/>
        <w:autoSpaceDE/>
        <w:autoSpaceDN/>
        <w:bidi w:val="0"/>
        <w:spacing w:before="0" w:after="0" w:line="360" w:lineRule="auto"/>
        <w:ind w:firstLine="0" w:firstLineChars="0"/>
        <w:jc w:val="center"/>
        <w:rPr>
          <w:rFonts w:hint="eastAsia" w:ascii="宋体" w:hAnsi="宋体" w:eastAsia="宋体" w:cs="宋体"/>
          <w:b/>
          <w:bCs/>
          <w:kern w:val="0"/>
          <w:sz w:val="21"/>
          <w:szCs w:val="21"/>
          <w:lang w:val="en-US" w:eastAsia="zh-CN"/>
        </w:rPr>
      </w:pPr>
      <w:r>
        <w:rPr>
          <w:rFonts w:hint="eastAsia" w:ascii="宋体" w:hAnsi="宋体" w:eastAsia="宋体" w:cs="宋体"/>
        </w:rPr>
        <w:drawing>
          <wp:inline distT="0" distB="0" distL="114300" distR="114300">
            <wp:extent cx="2470150" cy="1461135"/>
            <wp:effectExtent l="0" t="0" r="6350" b="57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2470150" cy="14611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2798445" cy="1461770"/>
            <wp:effectExtent l="0" t="0" r="1905"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7"/>
                    <a:stretch>
                      <a:fillRect/>
                    </a:stretch>
                  </pic:blipFill>
                  <pic:spPr>
                    <a:xfrm>
                      <a:off x="0" y="0"/>
                      <a:ext cx="2798445" cy="1461770"/>
                    </a:xfrm>
                    <a:prstGeom prst="rect">
                      <a:avLst/>
                    </a:prstGeom>
                    <a:noFill/>
                    <a:ln>
                      <a:noFill/>
                    </a:ln>
                  </pic:spPr>
                </pic:pic>
              </a:graphicData>
            </a:graphic>
          </wp:inline>
        </w:drawing>
      </w:r>
    </w:p>
    <w:p w14:paraId="783C806B">
      <w:pPr>
        <w:pStyle w:val="51"/>
        <w:keepNext w:val="0"/>
        <w:keepLines w:val="0"/>
        <w:pageBreakBefore w:val="0"/>
        <w:widowControl w:val="0"/>
        <w:numPr>
          <w:ilvl w:val="0"/>
          <w:numId w:val="0"/>
        </w:numPr>
        <w:kinsoku/>
        <w:overflowPunct/>
        <w:topLinePunct w:val="0"/>
        <w:autoSpaceDE/>
        <w:autoSpaceDN/>
        <w:bidi w:val="0"/>
        <w:spacing w:before="0" w:after="0" w:line="360" w:lineRule="auto"/>
        <w:ind w:firstLine="420" w:firstLineChars="200"/>
        <w:rPr>
          <w:rFonts w:hint="eastAsia" w:ascii="宋体" w:hAnsi="宋体" w:eastAsia="宋体" w:cs="宋体"/>
          <w:smallCaps w:val="0"/>
          <w:spacing w:val="0"/>
          <w:kern w:val="0"/>
          <w:sz w:val="21"/>
          <w:szCs w:val="21"/>
          <w:lang w:val="en-US" w:eastAsia="zh-CN" w:bidi="ar-SA"/>
        </w:rPr>
      </w:pPr>
      <w:r>
        <w:rPr>
          <w:rFonts w:hint="eastAsia" w:ascii="宋体" w:hAnsi="宋体" w:eastAsia="宋体" w:cs="宋体"/>
          <w:smallCaps w:val="0"/>
          <w:spacing w:val="0"/>
          <w:kern w:val="0"/>
          <w:sz w:val="21"/>
          <w:szCs w:val="21"/>
          <w:lang w:val="en-US" w:eastAsia="zh-CN" w:bidi="ar-SA"/>
        </w:rPr>
        <w:t>（</w:t>
      </w:r>
      <w:r>
        <w:rPr>
          <w:rFonts w:hint="eastAsia" w:ascii="宋体" w:hAnsi="宋体" w:cs="宋体"/>
          <w:smallCaps w:val="0"/>
          <w:spacing w:val="0"/>
          <w:kern w:val="0"/>
          <w:sz w:val="21"/>
          <w:szCs w:val="21"/>
          <w:lang w:val="en-US" w:eastAsia="zh-CN" w:bidi="ar-SA"/>
        </w:rPr>
        <w:t>2</w:t>
      </w:r>
      <w:r>
        <w:rPr>
          <w:rFonts w:hint="eastAsia" w:ascii="宋体" w:hAnsi="宋体" w:eastAsia="宋体" w:cs="宋体"/>
          <w:smallCaps w:val="0"/>
          <w:spacing w:val="0"/>
          <w:kern w:val="0"/>
          <w:sz w:val="21"/>
          <w:szCs w:val="21"/>
          <w:lang w:val="en-US" w:eastAsia="zh-CN" w:bidi="ar-SA"/>
        </w:rPr>
        <w:t>）《</w:t>
      </w:r>
      <w:r>
        <w:rPr>
          <w:rFonts w:hint="eastAsia" w:ascii="宋体" w:hAnsi="宋体" w:eastAsia="宋体" w:cs="宋体"/>
          <w:spacing w:val="0"/>
          <w:kern w:val="0"/>
          <w:sz w:val="21"/>
          <w:szCs w:val="21"/>
          <w:vertAlign w:val="baseline"/>
          <w:lang w:val="en-US" w:eastAsia="zh-CN"/>
        </w:rPr>
        <w:t>Bob the Nice World</w:t>
      </w:r>
      <w:r>
        <w:rPr>
          <w:rFonts w:hint="eastAsia" w:ascii="宋体" w:hAnsi="宋体" w:eastAsia="宋体" w:cs="宋体"/>
          <w:smallCaps w:val="0"/>
          <w:spacing w:val="0"/>
          <w:kern w:val="0"/>
          <w:sz w:val="21"/>
          <w:szCs w:val="21"/>
          <w:lang w:val="en-US" w:eastAsia="zh-CN" w:bidi="ar-SA"/>
        </w:rPr>
        <w:t>》，作者</w:t>
      </w:r>
      <w:r>
        <w:rPr>
          <w:rFonts w:hint="eastAsia" w:ascii="宋体" w:hAnsi="宋体" w:eastAsia="宋体" w:cs="宋体"/>
          <w:spacing w:val="0"/>
          <w:kern w:val="0"/>
          <w:sz w:val="21"/>
          <w:szCs w:val="21"/>
          <w:vertAlign w:val="baseline"/>
          <w:lang w:val="en-US" w:eastAsia="zh-CN"/>
        </w:rPr>
        <w:t>Bob the Nice Guy</w:t>
      </w:r>
      <w:r>
        <w:rPr>
          <w:rFonts w:hint="eastAsia" w:ascii="宋体" w:hAnsi="宋体" w:eastAsia="宋体" w:cs="宋体"/>
          <w:smallCaps w:val="0"/>
          <w:spacing w:val="0"/>
          <w:kern w:val="0"/>
          <w:sz w:val="21"/>
          <w:szCs w:val="21"/>
          <w:lang w:val="en-US" w:eastAsia="zh-CN" w:bidi="ar-SA"/>
        </w:rPr>
        <w:t>，泰国，来自新加坡灯光节作品。该作品是一个轻盈的充气雕塑,描绘了一个叫做BOB的古怪线条人物，通过俏皮的移动图像讲述他的故事。该作品主要为气模装置，总长</w:t>
      </w:r>
      <w:r>
        <w:rPr>
          <w:rFonts w:hint="eastAsia" w:ascii="宋体" w:hAnsi="宋体" w:cs="宋体"/>
          <w:spacing w:val="0"/>
          <w:kern w:val="0"/>
          <w:sz w:val="21"/>
          <w:szCs w:val="21"/>
          <w:lang w:val="en-US" w:eastAsia="zh-CN" w:bidi="ar-SA"/>
        </w:rPr>
        <w:t>约</w:t>
      </w:r>
      <w:r>
        <w:rPr>
          <w:rFonts w:hint="eastAsia" w:ascii="宋体" w:hAnsi="宋体" w:eastAsia="宋体" w:cs="宋体"/>
          <w:smallCaps w:val="0"/>
          <w:spacing w:val="0"/>
          <w:kern w:val="0"/>
          <w:sz w:val="21"/>
          <w:szCs w:val="21"/>
          <w:lang w:val="en-US" w:eastAsia="zh-CN" w:bidi="ar-SA"/>
        </w:rPr>
        <w:t>4米，宽</w:t>
      </w:r>
      <w:r>
        <w:rPr>
          <w:rFonts w:hint="eastAsia" w:ascii="宋体" w:hAnsi="宋体" w:cs="宋体"/>
          <w:spacing w:val="0"/>
          <w:kern w:val="0"/>
          <w:sz w:val="21"/>
          <w:szCs w:val="21"/>
          <w:lang w:val="en-US" w:eastAsia="zh-CN" w:bidi="ar-SA"/>
        </w:rPr>
        <w:t>约</w:t>
      </w:r>
      <w:r>
        <w:rPr>
          <w:rFonts w:hint="eastAsia" w:ascii="宋体" w:hAnsi="宋体" w:eastAsia="宋体" w:cs="宋体"/>
          <w:smallCaps w:val="0"/>
          <w:spacing w:val="0"/>
          <w:kern w:val="0"/>
          <w:sz w:val="21"/>
          <w:szCs w:val="21"/>
          <w:lang w:val="en-US" w:eastAsia="zh-CN" w:bidi="ar-SA"/>
        </w:rPr>
        <w:t>4米，高</w:t>
      </w:r>
      <w:r>
        <w:rPr>
          <w:rFonts w:hint="eastAsia" w:ascii="宋体" w:hAnsi="宋体" w:cs="宋体"/>
          <w:spacing w:val="0"/>
          <w:kern w:val="0"/>
          <w:sz w:val="21"/>
          <w:szCs w:val="21"/>
          <w:lang w:val="en-US" w:eastAsia="zh-CN" w:bidi="ar-SA"/>
        </w:rPr>
        <w:t>约</w:t>
      </w:r>
      <w:r>
        <w:rPr>
          <w:rFonts w:hint="eastAsia" w:ascii="宋体" w:hAnsi="宋体" w:eastAsia="宋体" w:cs="宋体"/>
          <w:smallCaps w:val="0"/>
          <w:spacing w:val="0"/>
          <w:kern w:val="0"/>
          <w:sz w:val="21"/>
          <w:szCs w:val="21"/>
          <w:lang w:val="en-US" w:eastAsia="zh-CN" w:bidi="ar-SA"/>
        </w:rPr>
        <w:t>4米，内嵌投影机、鼓风机、配重等材料。具体以实施方案为准</w:t>
      </w:r>
      <w:r>
        <w:rPr>
          <w:rFonts w:hint="default" w:ascii="宋体" w:hAnsi="宋体" w:eastAsia="宋体" w:cs="宋体"/>
          <w:smallCaps w:val="0"/>
          <w:spacing w:val="0"/>
          <w:kern w:val="0"/>
          <w:sz w:val="21"/>
          <w:szCs w:val="21"/>
          <w:lang w:val="en-US" w:eastAsia="zh-CN" w:bidi="ar-SA"/>
        </w:rPr>
        <w:t>。</w:t>
      </w:r>
    </w:p>
    <w:p w14:paraId="509CC0CD">
      <w:pPr>
        <w:pStyle w:val="51"/>
        <w:keepNext w:val="0"/>
        <w:keepLines w:val="0"/>
        <w:pageBreakBefore w:val="0"/>
        <w:widowControl w:val="0"/>
        <w:numPr>
          <w:ilvl w:val="-1"/>
          <w:numId w:val="0"/>
        </w:numPr>
        <w:kinsoku/>
        <w:overflowPunct/>
        <w:topLinePunct w:val="0"/>
        <w:autoSpaceDE/>
        <w:autoSpaceDN/>
        <w:bidi w:val="0"/>
        <w:spacing w:before="0" w:after="0" w:line="360" w:lineRule="auto"/>
        <w:ind w:firstLine="0" w:firstLineChars="0"/>
        <w:jc w:val="center"/>
        <w:rPr>
          <w:rFonts w:hint="eastAsia" w:ascii="宋体" w:hAnsi="宋体" w:eastAsia="宋体" w:cs="宋体"/>
          <w:b/>
          <w:bCs/>
          <w:kern w:val="0"/>
          <w:sz w:val="21"/>
          <w:szCs w:val="21"/>
          <w:lang w:val="en-US" w:eastAsia="zh-CN"/>
        </w:rPr>
      </w:pPr>
      <w:r>
        <w:rPr>
          <w:rFonts w:hint="eastAsia" w:ascii="宋体" w:hAnsi="宋体" w:eastAsia="宋体" w:cs="宋体"/>
        </w:rPr>
        <w:drawing>
          <wp:inline distT="0" distB="0" distL="114300" distR="114300">
            <wp:extent cx="3140710" cy="1917700"/>
            <wp:effectExtent l="0" t="0" r="2540" b="635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8"/>
                    <a:stretch>
                      <a:fillRect/>
                    </a:stretch>
                  </pic:blipFill>
                  <pic:spPr>
                    <a:xfrm>
                      <a:off x="0" y="0"/>
                      <a:ext cx="3140710" cy="191770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1357630" cy="1911350"/>
            <wp:effectExtent l="0" t="0" r="13970" b="1270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9"/>
                    <a:stretch>
                      <a:fillRect/>
                    </a:stretch>
                  </pic:blipFill>
                  <pic:spPr>
                    <a:xfrm>
                      <a:off x="0" y="0"/>
                      <a:ext cx="1357630" cy="1911350"/>
                    </a:xfrm>
                    <a:prstGeom prst="rect">
                      <a:avLst/>
                    </a:prstGeom>
                    <a:noFill/>
                    <a:ln>
                      <a:noFill/>
                    </a:ln>
                  </pic:spPr>
                </pic:pic>
              </a:graphicData>
            </a:graphic>
          </wp:inline>
        </w:drawing>
      </w:r>
    </w:p>
    <w:p w14:paraId="66CA9D31">
      <w:pPr>
        <w:pStyle w:val="51"/>
        <w:keepNext w:val="0"/>
        <w:keepLines w:val="0"/>
        <w:pageBreakBefore w:val="0"/>
        <w:widowControl w:val="0"/>
        <w:numPr>
          <w:ilvl w:val="0"/>
          <w:numId w:val="0"/>
        </w:numPr>
        <w:kinsoku/>
        <w:overflowPunct/>
        <w:topLinePunct w:val="0"/>
        <w:autoSpaceDE/>
        <w:autoSpaceDN/>
        <w:bidi w:val="0"/>
        <w:spacing w:before="0" w:after="0" w:line="360" w:lineRule="auto"/>
        <w:ind w:firstLine="420" w:firstLineChars="200"/>
        <w:rPr>
          <w:rFonts w:hint="eastAsia" w:ascii="宋体" w:hAnsi="宋体" w:eastAsia="宋体" w:cs="宋体"/>
          <w:spacing w:val="0"/>
          <w:kern w:val="0"/>
          <w:sz w:val="21"/>
          <w:szCs w:val="21"/>
          <w:lang w:val="en-US" w:eastAsia="zh-CN" w:bidi="ar-SA"/>
        </w:rPr>
      </w:pPr>
      <w:r>
        <w:rPr>
          <w:rFonts w:hint="eastAsia" w:ascii="宋体" w:hAnsi="宋体" w:eastAsia="宋体" w:cs="宋体"/>
          <w:smallCaps w:val="0"/>
          <w:spacing w:val="0"/>
          <w:kern w:val="0"/>
          <w:sz w:val="21"/>
          <w:szCs w:val="21"/>
          <w:lang w:val="en-US" w:eastAsia="zh-CN" w:bidi="ar-SA"/>
        </w:rPr>
        <w:t>（</w:t>
      </w:r>
      <w:r>
        <w:rPr>
          <w:rFonts w:hint="eastAsia" w:ascii="宋体" w:hAnsi="宋体" w:cs="宋体"/>
          <w:smallCaps w:val="0"/>
          <w:spacing w:val="0"/>
          <w:kern w:val="0"/>
          <w:sz w:val="21"/>
          <w:szCs w:val="21"/>
          <w:lang w:val="en-US" w:eastAsia="zh-CN" w:bidi="ar-SA"/>
        </w:rPr>
        <w:t>3</w:t>
      </w:r>
      <w:r>
        <w:rPr>
          <w:rFonts w:hint="eastAsia" w:ascii="宋体" w:hAnsi="宋体" w:eastAsia="宋体" w:cs="宋体"/>
          <w:smallCaps w:val="0"/>
          <w:spacing w:val="0"/>
          <w:kern w:val="0"/>
          <w:sz w:val="21"/>
          <w:szCs w:val="21"/>
          <w:lang w:val="en-US" w:eastAsia="zh-CN" w:bidi="ar-SA"/>
        </w:rPr>
        <w:t xml:space="preserve">） </w:t>
      </w:r>
      <w:r>
        <w:rPr>
          <w:rFonts w:hint="eastAsia" w:ascii="宋体" w:hAnsi="宋体" w:eastAsia="宋体" w:cs="宋体"/>
          <w:spacing w:val="0"/>
          <w:kern w:val="0"/>
          <w:sz w:val="21"/>
          <w:szCs w:val="21"/>
          <w:lang w:val="en-US" w:eastAsia="zh-CN"/>
        </w:rPr>
        <w:t>《缓存池》</w:t>
      </w:r>
      <w:r>
        <w:rPr>
          <w:rFonts w:hint="eastAsia" w:ascii="宋体" w:hAnsi="宋体" w:eastAsia="宋体" w:cs="宋体"/>
          <w:spacing w:val="0"/>
          <w:kern w:val="0"/>
          <w:sz w:val="21"/>
          <w:szCs w:val="21"/>
          <w:lang w:val="en-US" w:eastAsia="zh-CN" w:bidi="ar-SA"/>
        </w:rPr>
        <w:t>，作者ARTiFACTS，来自中国，该作品围绕池的概念，旨在提供一个由计算机程序、数字音频、矩阵投影、雷达探测等多种媒介手段与内容合成的新型憩息地。该作品主要为投影装置，模拟游泳池的场景，总长不少于15米，宽</w:t>
      </w:r>
      <w:r>
        <w:rPr>
          <w:rFonts w:hint="eastAsia" w:ascii="宋体" w:hAnsi="宋体" w:cs="宋体"/>
          <w:spacing w:val="0"/>
          <w:kern w:val="0"/>
          <w:sz w:val="21"/>
          <w:szCs w:val="21"/>
          <w:lang w:val="en-US" w:eastAsia="zh-CN" w:bidi="ar-SA"/>
        </w:rPr>
        <w:t>不少于8米</w:t>
      </w:r>
      <w:r>
        <w:rPr>
          <w:rFonts w:hint="eastAsia" w:ascii="宋体" w:hAnsi="宋体" w:eastAsia="宋体" w:cs="宋体"/>
          <w:spacing w:val="0"/>
          <w:kern w:val="0"/>
          <w:sz w:val="21"/>
          <w:szCs w:val="21"/>
          <w:lang w:val="en-US" w:eastAsia="zh-CN" w:bidi="ar-SA"/>
        </w:rPr>
        <w:t>，包含投影仪、投影支架，投影地贴，四角雷达传感器，休憩座椅、栏杆等场地道具，电脑、音响、声卡、机柜等材料。</w:t>
      </w:r>
      <w:r>
        <w:rPr>
          <w:rFonts w:hint="eastAsia" w:ascii="宋体" w:hAnsi="宋体" w:eastAsia="宋体" w:cs="宋体"/>
          <w:smallCaps w:val="0"/>
          <w:spacing w:val="0"/>
          <w:kern w:val="0"/>
          <w:sz w:val="21"/>
          <w:szCs w:val="21"/>
          <w:lang w:val="en-US" w:eastAsia="zh-CN" w:bidi="ar-SA"/>
        </w:rPr>
        <w:t>具体以实施方案为准</w:t>
      </w:r>
      <w:r>
        <w:rPr>
          <w:rFonts w:hint="default" w:ascii="宋体" w:hAnsi="宋体" w:eastAsia="宋体" w:cs="宋体"/>
          <w:smallCaps w:val="0"/>
          <w:spacing w:val="0"/>
          <w:kern w:val="0"/>
          <w:sz w:val="21"/>
          <w:szCs w:val="21"/>
          <w:lang w:val="en-US" w:eastAsia="zh-CN" w:bidi="ar-SA"/>
        </w:rPr>
        <w:t>。</w:t>
      </w:r>
    </w:p>
    <w:p w14:paraId="30155D32">
      <w:pPr>
        <w:pStyle w:val="51"/>
        <w:keepNext w:val="0"/>
        <w:keepLines w:val="0"/>
        <w:pageBreakBefore w:val="0"/>
        <w:widowControl w:val="0"/>
        <w:numPr>
          <w:ilvl w:val="-1"/>
          <w:numId w:val="0"/>
        </w:numPr>
        <w:kinsoku/>
        <w:overflowPunct/>
        <w:topLinePunct w:val="0"/>
        <w:autoSpaceDE/>
        <w:autoSpaceDN/>
        <w:bidi w:val="0"/>
        <w:spacing w:before="0" w:after="0" w:line="360" w:lineRule="auto"/>
        <w:ind w:firstLine="0" w:firstLineChars="0"/>
        <w:jc w:val="center"/>
        <w:rPr>
          <w:rFonts w:hint="eastAsia" w:ascii="宋体" w:hAnsi="宋体" w:eastAsia="宋体" w:cs="宋体"/>
          <w:smallCaps w:val="0"/>
          <w:spacing w:val="0"/>
          <w:kern w:val="0"/>
          <w:sz w:val="21"/>
          <w:szCs w:val="21"/>
          <w:lang w:val="en-US" w:eastAsia="zh-CN" w:bidi="ar-SA"/>
        </w:rPr>
      </w:pPr>
      <w:r>
        <w:rPr>
          <w:rFonts w:hint="eastAsia" w:ascii="宋体" w:hAnsi="宋体" w:eastAsia="宋体" w:cs="宋体"/>
        </w:rPr>
        <w:drawing>
          <wp:inline distT="0" distB="0" distL="114300" distR="114300">
            <wp:extent cx="1931670" cy="1285240"/>
            <wp:effectExtent l="0" t="0" r="1143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1931670" cy="128524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3293110" cy="1288415"/>
            <wp:effectExtent l="0" t="0" r="2540" b="69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3293110" cy="1288415"/>
                    </a:xfrm>
                    <a:prstGeom prst="rect">
                      <a:avLst/>
                    </a:prstGeom>
                    <a:noFill/>
                    <a:ln>
                      <a:noFill/>
                    </a:ln>
                  </pic:spPr>
                </pic:pic>
              </a:graphicData>
            </a:graphic>
          </wp:inline>
        </w:drawing>
      </w:r>
    </w:p>
    <w:p w14:paraId="0C561A28">
      <w:pPr>
        <w:pStyle w:val="51"/>
        <w:keepNext w:val="0"/>
        <w:keepLines w:val="0"/>
        <w:pageBreakBefore w:val="0"/>
        <w:widowControl w:val="0"/>
        <w:numPr>
          <w:ilvl w:val="0"/>
          <w:numId w:val="0"/>
        </w:numPr>
        <w:kinsoku/>
        <w:wordWrap/>
        <w:overflowPunct/>
        <w:topLinePunct w:val="0"/>
        <w:autoSpaceDE/>
        <w:autoSpaceDN/>
        <w:bidi w:val="0"/>
        <w:spacing w:before="0" w:after="0" w:line="360" w:lineRule="auto"/>
        <w:ind w:left="0" w:firstLine="460" w:firstLineChars="200"/>
        <w:rPr>
          <w:rFonts w:hint="eastAsia" w:ascii="宋体" w:hAnsi="宋体" w:eastAsia="宋体" w:cs="宋体"/>
          <w:b w:val="0"/>
          <w:bCs w:val="0"/>
          <w:kern w:val="0"/>
          <w:sz w:val="21"/>
          <w:szCs w:val="21"/>
          <w:lang w:val="en-US" w:eastAsia="zh-CN"/>
        </w:rPr>
      </w:pPr>
      <w:r>
        <w:rPr>
          <w:rFonts w:hint="eastAsia" w:ascii="宋体" w:hAnsi="宋体" w:eastAsia="宋体" w:cs="宋体"/>
          <w:b w:val="0"/>
          <w:bCs w:val="0"/>
          <w:spacing w:val="10"/>
          <w:kern w:val="0"/>
          <w:sz w:val="21"/>
          <w:szCs w:val="21"/>
          <w:lang w:val="en-US" w:eastAsia="zh-CN" w:bidi="ar-SA"/>
        </w:rPr>
        <w:t>2、</w:t>
      </w:r>
      <w:r>
        <w:rPr>
          <w:rFonts w:hint="eastAsia" w:ascii="宋体" w:hAnsi="宋体" w:eastAsia="宋体" w:cs="宋体"/>
          <w:b w:val="0"/>
          <w:bCs w:val="0"/>
          <w:kern w:val="0"/>
          <w:sz w:val="21"/>
          <w:szCs w:val="21"/>
          <w:lang w:val="en-US" w:eastAsia="zh-CN"/>
        </w:rPr>
        <w:t>活动组织</w:t>
      </w:r>
    </w:p>
    <w:p w14:paraId="1CECCAC0">
      <w:pPr>
        <w:pStyle w:val="51"/>
        <w:keepNext w:val="0"/>
        <w:keepLines w:val="0"/>
        <w:pageBreakBefore w:val="0"/>
        <w:widowControl w:val="0"/>
        <w:numPr>
          <w:ilvl w:val="0"/>
          <w:numId w:val="0"/>
        </w:numPr>
        <w:kinsoku/>
        <w:overflowPunct/>
        <w:topLinePunct w:val="0"/>
        <w:autoSpaceDE/>
        <w:autoSpaceDN/>
        <w:bidi w:val="0"/>
        <w:spacing w:before="0" w:after="0" w:line="360" w:lineRule="auto"/>
        <w:ind w:firstLine="420" w:firstLineChars="200"/>
        <w:rPr>
          <w:rFonts w:hint="eastAsia" w:ascii="宋体" w:hAnsi="宋体" w:eastAsia="宋体" w:cs="宋体"/>
          <w:b w:val="0"/>
          <w:bCs w:val="0"/>
          <w:spacing w:val="0"/>
          <w:kern w:val="0"/>
          <w:sz w:val="21"/>
          <w:szCs w:val="21"/>
          <w:lang w:val="en-US" w:eastAsia="zh-CN"/>
        </w:rPr>
      </w:pPr>
      <w:r>
        <w:rPr>
          <w:rFonts w:hint="eastAsia" w:ascii="宋体" w:hAnsi="宋体" w:eastAsia="宋体" w:cs="宋体"/>
          <w:b w:val="0"/>
          <w:bCs w:val="0"/>
          <w:spacing w:val="0"/>
          <w:kern w:val="0"/>
          <w:sz w:val="21"/>
          <w:szCs w:val="21"/>
          <w:lang w:val="en-US" w:eastAsia="zh-CN"/>
        </w:rPr>
        <w:t>（</w:t>
      </w:r>
      <w:r>
        <w:rPr>
          <w:rFonts w:hint="eastAsia" w:ascii="宋体" w:hAnsi="宋体" w:cs="宋体"/>
          <w:b w:val="0"/>
          <w:bCs w:val="0"/>
          <w:spacing w:val="0"/>
          <w:kern w:val="0"/>
          <w:sz w:val="21"/>
          <w:szCs w:val="21"/>
          <w:lang w:val="en-US" w:eastAsia="zh-CN"/>
        </w:rPr>
        <w:t>1</w:t>
      </w:r>
      <w:r>
        <w:rPr>
          <w:rFonts w:hint="eastAsia" w:ascii="宋体" w:hAnsi="宋体" w:eastAsia="宋体" w:cs="宋体"/>
          <w:b w:val="0"/>
          <w:bCs w:val="0"/>
          <w:spacing w:val="0"/>
          <w:kern w:val="0"/>
          <w:sz w:val="21"/>
          <w:szCs w:val="21"/>
          <w:lang w:val="en-US" w:eastAsia="zh-CN"/>
        </w:rPr>
        <w:t>）光的捉迷藏：在莲花山公园里，协助组织一场公共教育活动，在本次活动中利用反光材料及手持灯的微弱光,与市民一同享受艺术的“光的捉迷藏”。在这个过程中,市民们共创光景,相互玩耍,从而打破人与人之间的隔阂,共同享受光艺术的自由创作和竞演，并将制作完成的图案加入初成规模的原作品中，最终形成一幅由大家共同创作完成的无界的全景光影绘卷。</w:t>
      </w:r>
    </w:p>
    <w:p w14:paraId="61AF541E">
      <w:pPr>
        <w:pStyle w:val="51"/>
        <w:keepNext w:val="0"/>
        <w:keepLines w:val="0"/>
        <w:pageBreakBefore w:val="0"/>
        <w:widowControl w:val="0"/>
        <w:numPr>
          <w:ilvl w:val="-1"/>
          <w:numId w:val="0"/>
        </w:numPr>
        <w:kinsoku/>
        <w:overflowPunct/>
        <w:topLinePunct w:val="0"/>
        <w:autoSpaceDE/>
        <w:autoSpaceDN/>
        <w:bidi w:val="0"/>
        <w:spacing w:before="0" w:after="0" w:line="360" w:lineRule="auto"/>
        <w:ind w:firstLine="0" w:firstLineChars="0"/>
        <w:rPr>
          <w:rFonts w:hint="eastAsia" w:ascii="宋体" w:hAnsi="宋体" w:eastAsia="宋体" w:cs="宋体"/>
          <w:b/>
          <w:bCs/>
          <w:kern w:val="0"/>
          <w:sz w:val="21"/>
          <w:szCs w:val="21"/>
          <w:lang w:val="en-US" w:eastAsia="zh-CN"/>
        </w:rPr>
      </w:pPr>
      <w:r>
        <w:rPr>
          <w:rFonts w:hint="eastAsia" w:ascii="宋体" w:hAnsi="宋体" w:eastAsia="宋体" w:cs="宋体"/>
        </w:rPr>
        <w:drawing>
          <wp:inline distT="0" distB="0" distL="114300" distR="114300">
            <wp:extent cx="5755640" cy="1265555"/>
            <wp:effectExtent l="0" t="0" r="1651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755640" cy="1265555"/>
                    </a:xfrm>
                    <a:prstGeom prst="rect">
                      <a:avLst/>
                    </a:prstGeom>
                    <a:noFill/>
                    <a:ln>
                      <a:noFill/>
                    </a:ln>
                  </pic:spPr>
                </pic:pic>
              </a:graphicData>
            </a:graphic>
          </wp:inline>
        </w:drawing>
      </w:r>
    </w:p>
    <w:p w14:paraId="2E7686A7">
      <w:pPr>
        <w:pStyle w:val="51"/>
        <w:keepNext w:val="0"/>
        <w:keepLines w:val="0"/>
        <w:pageBreakBefore w:val="0"/>
        <w:widowControl w:val="0"/>
        <w:numPr>
          <w:ilvl w:val="-1"/>
          <w:numId w:val="0"/>
        </w:numPr>
        <w:kinsoku/>
        <w:wordWrap/>
        <w:overflowPunct/>
        <w:topLinePunct w:val="0"/>
        <w:autoSpaceDE/>
        <w:autoSpaceDN/>
        <w:bidi w:val="0"/>
        <w:spacing w:before="0" w:after="0" w:line="360" w:lineRule="auto"/>
        <w:ind w:left="0" w:firstLine="462" w:firstLineChars="200"/>
        <w:jc w:val="both"/>
        <w:rPr>
          <w:rFonts w:hint="eastAsia" w:ascii="宋体" w:hAnsi="宋体" w:eastAsia="宋体" w:cs="宋体"/>
          <w:b w:val="0"/>
          <w:bCs w:val="0"/>
          <w:kern w:val="0"/>
          <w:sz w:val="21"/>
          <w:szCs w:val="21"/>
          <w:lang w:val="en-US" w:eastAsia="zh-CN"/>
        </w:rPr>
      </w:pPr>
      <w:r>
        <w:rPr>
          <w:rFonts w:hint="eastAsia" w:ascii="宋体" w:hAnsi="宋体" w:eastAsia="宋体" w:cs="宋体"/>
          <w:b/>
          <w:bCs/>
          <w:kern w:val="0"/>
          <w:sz w:val="21"/>
          <w:szCs w:val="21"/>
          <w:lang w:val="en-US" w:eastAsia="zh-CN"/>
        </w:rPr>
        <w:t>（二）服务内容：</w:t>
      </w:r>
    </w:p>
    <w:p w14:paraId="22FE9B37">
      <w:pPr>
        <w:keepNext w:val="0"/>
        <w:keepLines w:val="0"/>
        <w:pageBreakBefore w:val="0"/>
        <w:widowControl w:val="0"/>
        <w:kinsoku/>
        <w:wordWrap/>
        <w:overflowPunct/>
        <w:topLinePunct w:val="0"/>
        <w:autoSpaceDE/>
        <w:autoSpaceDN/>
        <w:bidi w:val="0"/>
        <w:adjustRightInd w:val="0"/>
        <w:spacing w:line="360" w:lineRule="auto"/>
        <w:ind w:left="0" w:firstLine="420" w:firstLineChars="200"/>
        <w:textAlignment w:val="baseline"/>
        <w:outlineLvl w:val="1"/>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eastAsia="zh-CN"/>
        </w:rPr>
        <w:t>中标单位提供服务内容包括但不限于总体策划服务、光影作品布置、活动组织策划、采购单位交办的其他内容等，具体如下：</w:t>
      </w:r>
    </w:p>
    <w:p w14:paraId="4339F68E">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jc w:val="both"/>
        <w:textAlignment w:val="baseline"/>
        <w:outlineLvl w:val="1"/>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bidi="ar-SA"/>
        </w:rPr>
        <w:t>1、</w:t>
      </w:r>
      <w:r>
        <w:rPr>
          <w:rFonts w:hint="eastAsia" w:ascii="宋体" w:hAnsi="宋体" w:eastAsia="宋体" w:cs="宋体"/>
          <w:b w:val="0"/>
          <w:bCs w:val="0"/>
          <w:kern w:val="0"/>
          <w:sz w:val="21"/>
          <w:szCs w:val="21"/>
          <w:lang w:val="en-US" w:eastAsia="zh-CN"/>
        </w:rPr>
        <w:t>总体策划服务：投标单位需围绕采购单位提出的服务需求进行总体策划，并出具策划方案，经采购单位确认后实施。</w:t>
      </w:r>
    </w:p>
    <w:p w14:paraId="7D84AF86">
      <w:pPr>
        <w:pStyle w:val="51"/>
        <w:keepNext w:val="0"/>
        <w:keepLines w:val="0"/>
        <w:pageBreakBefore w:val="0"/>
        <w:widowControl w:val="0"/>
        <w:numPr>
          <w:ilvl w:val="0"/>
          <w:numId w:val="0"/>
        </w:numPr>
        <w:kinsoku/>
        <w:wordWrap/>
        <w:overflowPunct/>
        <w:topLinePunct w:val="0"/>
        <w:autoSpaceDE/>
        <w:autoSpaceDN/>
        <w:bidi w:val="0"/>
        <w:snapToGrid/>
        <w:spacing w:before="0" w:after="0" w:line="360" w:lineRule="auto"/>
        <w:ind w:left="0" w:firstLine="420" w:firstLineChars="200"/>
        <w:rPr>
          <w:rFonts w:hint="eastAsia" w:ascii="宋体" w:hAnsi="宋体" w:eastAsia="宋体" w:cs="宋体"/>
          <w:b w:val="0"/>
          <w:bCs w:val="0"/>
          <w:spacing w:val="0"/>
          <w:kern w:val="0"/>
          <w:sz w:val="21"/>
          <w:szCs w:val="21"/>
          <w:lang w:val="en-US" w:eastAsia="zh-CN"/>
        </w:rPr>
      </w:pPr>
      <w:r>
        <w:rPr>
          <w:rFonts w:hint="eastAsia" w:ascii="宋体" w:hAnsi="宋体" w:eastAsia="宋体" w:cs="宋体"/>
          <w:b w:val="0"/>
          <w:bCs w:val="0"/>
          <w:spacing w:val="0"/>
          <w:kern w:val="0"/>
          <w:sz w:val="21"/>
          <w:szCs w:val="21"/>
          <w:lang w:val="en-US" w:eastAsia="zh-CN" w:bidi="ar-SA"/>
        </w:rPr>
        <w:t>（1）</w:t>
      </w:r>
      <w:r>
        <w:rPr>
          <w:rFonts w:hint="eastAsia" w:ascii="宋体" w:hAnsi="宋体" w:eastAsia="宋体" w:cs="宋体"/>
          <w:b w:val="0"/>
          <w:bCs w:val="0"/>
          <w:spacing w:val="0"/>
          <w:kern w:val="0"/>
          <w:sz w:val="21"/>
          <w:szCs w:val="21"/>
          <w:lang w:val="en-US" w:eastAsia="zh-CN"/>
        </w:rPr>
        <w:t>策划方案包括但不限于项目分析、策划概念、整体规划布局图（路线导览图、点位布局图等）、光影作品及活动组织详细介绍、项目实施时间安排、项目期间保障措施（施工过程安排、期间维护安排、结束撤场安排）、采购及中标单位认为需要新增的内容等。</w:t>
      </w:r>
    </w:p>
    <w:p w14:paraId="7B4D62A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jc w:val="both"/>
        <w:textAlignment w:val="baseline"/>
        <w:outlineLvl w:val="1"/>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bidi="ar-SA"/>
        </w:rPr>
        <w:t>（2）</w:t>
      </w:r>
      <w:r>
        <w:rPr>
          <w:rFonts w:hint="eastAsia" w:ascii="宋体" w:hAnsi="宋体" w:eastAsia="宋体" w:cs="宋体"/>
          <w:b w:val="0"/>
          <w:bCs w:val="0"/>
          <w:kern w:val="0"/>
          <w:sz w:val="21"/>
          <w:szCs w:val="21"/>
          <w:lang w:val="en-US" w:eastAsia="zh-CN"/>
        </w:rPr>
        <w:t>要求准确把握项目精神内涵，方案内容丰富，亮点突出，布局合理，具有可实施性，整体展现效果好，能凸显深圳优质的夜间消费场景营造，吸引市民游客拍照打卡。</w:t>
      </w:r>
    </w:p>
    <w:p w14:paraId="7F352DA6">
      <w:pPr>
        <w:pStyle w:val="51"/>
        <w:keepNext w:val="0"/>
        <w:keepLines w:val="0"/>
        <w:pageBreakBefore w:val="0"/>
        <w:widowControl w:val="0"/>
        <w:numPr>
          <w:ilvl w:val="0"/>
          <w:numId w:val="0"/>
        </w:numPr>
        <w:kinsoku/>
        <w:wordWrap/>
        <w:overflowPunct/>
        <w:topLinePunct w:val="0"/>
        <w:autoSpaceDE/>
        <w:autoSpaceDN/>
        <w:bidi w:val="0"/>
        <w:snapToGrid/>
        <w:spacing w:before="0" w:after="0" w:line="360" w:lineRule="auto"/>
        <w:ind w:left="0" w:firstLine="420" w:firstLineChars="200"/>
        <w:rPr>
          <w:rFonts w:hint="eastAsia" w:ascii="宋体" w:hAnsi="宋体" w:eastAsia="宋体" w:cs="宋体"/>
          <w:b w:val="0"/>
          <w:bCs w:val="0"/>
          <w:spacing w:val="0"/>
          <w:kern w:val="0"/>
          <w:sz w:val="21"/>
          <w:szCs w:val="21"/>
          <w:lang w:val="en-US" w:eastAsia="zh-CN"/>
        </w:rPr>
      </w:pPr>
      <w:r>
        <w:rPr>
          <w:rFonts w:hint="eastAsia" w:ascii="宋体" w:hAnsi="宋体" w:eastAsia="宋体" w:cs="宋体"/>
          <w:b w:val="0"/>
          <w:bCs w:val="0"/>
          <w:spacing w:val="0"/>
          <w:kern w:val="0"/>
          <w:sz w:val="21"/>
          <w:szCs w:val="21"/>
          <w:lang w:val="en-US" w:eastAsia="zh-CN" w:bidi="ar-SA"/>
        </w:rPr>
        <w:t>（3）</w:t>
      </w:r>
      <w:r>
        <w:rPr>
          <w:rFonts w:hint="eastAsia" w:ascii="宋体" w:hAnsi="宋体" w:eastAsia="宋体" w:cs="宋体"/>
          <w:b w:val="0"/>
          <w:bCs w:val="0"/>
          <w:spacing w:val="0"/>
          <w:kern w:val="0"/>
          <w:sz w:val="21"/>
          <w:szCs w:val="21"/>
          <w:lang w:val="en-US" w:eastAsia="zh-CN"/>
        </w:rPr>
        <w:t>要求中标单位需进行实地调研及分析，对项目的场地特色进行提炼与把握，确定光影作品及活动组织的点位选择符合采购单位要求，保障好场地使用、安装施工、电力供应等问题。</w:t>
      </w:r>
    </w:p>
    <w:p w14:paraId="00B6CB21">
      <w:pPr>
        <w:pStyle w:val="51"/>
        <w:keepNext w:val="0"/>
        <w:keepLines w:val="0"/>
        <w:pageBreakBefore w:val="0"/>
        <w:widowControl w:val="0"/>
        <w:numPr>
          <w:ilvl w:val="0"/>
          <w:numId w:val="0"/>
        </w:numPr>
        <w:kinsoku/>
        <w:wordWrap/>
        <w:overflowPunct/>
        <w:topLinePunct w:val="0"/>
        <w:autoSpaceDE/>
        <w:autoSpaceDN/>
        <w:bidi w:val="0"/>
        <w:snapToGrid/>
        <w:spacing w:before="0" w:after="0" w:line="360" w:lineRule="auto"/>
        <w:ind w:left="0" w:firstLine="420" w:firstLineChars="200"/>
        <w:rPr>
          <w:rFonts w:hint="eastAsia" w:ascii="宋体" w:hAnsi="宋体" w:eastAsia="宋体" w:cs="宋体"/>
          <w:b w:val="0"/>
          <w:bCs w:val="0"/>
          <w:spacing w:val="0"/>
          <w:kern w:val="0"/>
          <w:sz w:val="21"/>
          <w:szCs w:val="21"/>
          <w:lang w:val="en-US" w:eastAsia="zh-CN"/>
        </w:rPr>
      </w:pPr>
      <w:r>
        <w:rPr>
          <w:rFonts w:hint="eastAsia" w:ascii="宋体" w:hAnsi="宋体" w:eastAsia="宋体" w:cs="宋体"/>
          <w:b w:val="0"/>
          <w:bCs w:val="0"/>
          <w:spacing w:val="0"/>
          <w:kern w:val="0"/>
          <w:sz w:val="21"/>
          <w:szCs w:val="21"/>
          <w:lang w:val="en-US" w:eastAsia="zh-CN" w:bidi="ar-SA"/>
        </w:rPr>
        <w:t>（4）</w:t>
      </w:r>
      <w:r>
        <w:rPr>
          <w:rFonts w:hint="eastAsia" w:ascii="宋体" w:hAnsi="宋体" w:eastAsia="宋体" w:cs="宋体"/>
          <w:b w:val="0"/>
          <w:bCs w:val="0"/>
          <w:spacing w:val="0"/>
          <w:kern w:val="0"/>
          <w:sz w:val="21"/>
          <w:szCs w:val="21"/>
          <w:lang w:val="en-US" w:eastAsia="zh-CN"/>
        </w:rPr>
        <w:t>要求中标后的策划方案须按照采购单位意见进行二次深化及调整，最终策划方案实施内容须采购单位确认方可实施。</w:t>
      </w:r>
    </w:p>
    <w:p w14:paraId="4A41C81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jc w:val="both"/>
        <w:textAlignment w:val="baseline"/>
        <w:outlineLvl w:val="1"/>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bidi="ar-SA"/>
        </w:rPr>
        <w:t>2、</w:t>
      </w:r>
      <w:r>
        <w:rPr>
          <w:rFonts w:hint="eastAsia" w:ascii="宋体" w:hAnsi="宋体" w:eastAsia="宋体" w:cs="宋体"/>
          <w:b w:val="0"/>
          <w:bCs w:val="0"/>
          <w:spacing w:val="0"/>
          <w:kern w:val="0"/>
          <w:sz w:val="21"/>
          <w:szCs w:val="21"/>
          <w:lang w:val="en-US" w:eastAsia="zh-CN"/>
        </w:rPr>
        <w:t>光影作品</w:t>
      </w:r>
      <w:r>
        <w:rPr>
          <w:rFonts w:hint="eastAsia" w:ascii="宋体" w:hAnsi="宋体" w:eastAsia="宋体" w:cs="宋体"/>
          <w:b w:val="0"/>
          <w:bCs w:val="0"/>
          <w:kern w:val="0"/>
          <w:sz w:val="21"/>
          <w:szCs w:val="21"/>
          <w:lang w:val="en-US" w:eastAsia="zh-CN"/>
        </w:rPr>
        <w:t>布置：投标单位需对采购单位确定的</w:t>
      </w:r>
      <w:r>
        <w:rPr>
          <w:rFonts w:hint="eastAsia" w:ascii="宋体" w:hAnsi="宋体" w:eastAsia="宋体" w:cs="宋体"/>
          <w:b w:val="0"/>
          <w:bCs w:val="0"/>
          <w:spacing w:val="0"/>
          <w:kern w:val="0"/>
          <w:sz w:val="21"/>
          <w:szCs w:val="21"/>
          <w:lang w:val="en-US" w:eastAsia="zh-CN"/>
        </w:rPr>
        <w:t>光影作品</w:t>
      </w:r>
      <w:r>
        <w:rPr>
          <w:rFonts w:hint="eastAsia" w:ascii="宋体" w:hAnsi="宋体" w:eastAsia="宋体" w:cs="宋体"/>
          <w:b w:val="0"/>
          <w:bCs w:val="0"/>
          <w:kern w:val="0"/>
          <w:sz w:val="21"/>
          <w:szCs w:val="21"/>
          <w:lang w:val="en-US" w:eastAsia="zh-CN"/>
        </w:rPr>
        <w:t>进行布置，并完成相关服务内容，包括但不限于对接</w:t>
      </w:r>
      <w:r>
        <w:rPr>
          <w:rFonts w:hint="eastAsia" w:ascii="宋体" w:hAnsi="宋体" w:eastAsia="宋体" w:cs="宋体"/>
          <w:b w:val="0"/>
          <w:bCs w:val="0"/>
          <w:spacing w:val="0"/>
          <w:kern w:val="0"/>
          <w:sz w:val="21"/>
          <w:szCs w:val="21"/>
          <w:lang w:val="en-US" w:eastAsia="zh-CN"/>
        </w:rPr>
        <w:t>光影作品</w:t>
      </w:r>
      <w:r>
        <w:rPr>
          <w:rFonts w:hint="eastAsia" w:ascii="宋体" w:hAnsi="宋体" w:eastAsia="宋体" w:cs="宋体"/>
          <w:b w:val="0"/>
          <w:bCs w:val="0"/>
          <w:kern w:val="0"/>
          <w:sz w:val="21"/>
          <w:szCs w:val="21"/>
          <w:lang w:val="en-US" w:eastAsia="zh-CN"/>
        </w:rPr>
        <w:t>创作艺术家，深化设计方案，完成作品制作、布置、运维、撤场，完成作品立式标识装置制作及布置，并做好作品拍摄、讲解、宣传等。</w:t>
      </w:r>
    </w:p>
    <w:p w14:paraId="513F6B0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（1）</w:t>
      </w:r>
      <w:r>
        <w:rPr>
          <w:rFonts w:hint="eastAsia" w:ascii="宋体" w:hAnsi="宋体" w:eastAsia="宋体" w:cs="宋体"/>
          <w:b w:val="0"/>
          <w:bCs w:val="0"/>
          <w:kern w:val="0"/>
          <w:sz w:val="21"/>
          <w:szCs w:val="21"/>
        </w:rPr>
        <w:t>对接相应艺术家。与</w:t>
      </w:r>
      <w:r>
        <w:rPr>
          <w:rFonts w:hint="eastAsia" w:ascii="宋体" w:hAnsi="宋体" w:eastAsia="宋体" w:cs="宋体"/>
          <w:b w:val="0"/>
          <w:bCs w:val="0"/>
          <w:spacing w:val="0"/>
          <w:kern w:val="0"/>
          <w:sz w:val="21"/>
          <w:szCs w:val="21"/>
          <w:lang w:val="en-US" w:eastAsia="zh-CN"/>
        </w:rPr>
        <w:t>光影作品</w:t>
      </w:r>
      <w:r>
        <w:rPr>
          <w:rFonts w:hint="eastAsia" w:ascii="宋体" w:hAnsi="宋体" w:eastAsia="宋体" w:cs="宋体"/>
          <w:b w:val="0"/>
          <w:bCs w:val="0"/>
          <w:kern w:val="0"/>
          <w:sz w:val="21"/>
          <w:szCs w:val="21"/>
        </w:rPr>
        <w:t>的创作艺术家或艺术团队建立良好的合作关系，配合艺术家</w:t>
      </w:r>
      <w:r>
        <w:rPr>
          <w:rFonts w:hint="eastAsia" w:ascii="宋体" w:hAnsi="宋体" w:eastAsia="宋体" w:cs="宋体"/>
          <w:b w:val="0"/>
          <w:bCs w:val="0"/>
          <w:kern w:val="0"/>
          <w:sz w:val="21"/>
          <w:szCs w:val="21"/>
          <w:lang w:eastAsia="zh-CN"/>
        </w:rPr>
        <w:t>做好</w:t>
      </w:r>
      <w:r>
        <w:rPr>
          <w:rFonts w:hint="eastAsia" w:ascii="宋体" w:hAnsi="宋体" w:eastAsia="宋体" w:cs="宋体"/>
          <w:b w:val="0"/>
          <w:bCs w:val="0"/>
          <w:kern w:val="0"/>
          <w:sz w:val="21"/>
          <w:szCs w:val="21"/>
        </w:rPr>
        <w:t>现场勘探、制作落地、亮灯调试、</w:t>
      </w:r>
      <w:r>
        <w:rPr>
          <w:rFonts w:hint="eastAsia" w:ascii="宋体" w:hAnsi="宋体" w:eastAsia="宋体" w:cs="宋体"/>
          <w:b w:val="0"/>
          <w:bCs w:val="0"/>
          <w:kern w:val="0"/>
          <w:sz w:val="21"/>
          <w:szCs w:val="21"/>
          <w:lang w:eastAsia="zh-CN"/>
        </w:rPr>
        <w:t>呈现撤场</w:t>
      </w:r>
      <w:r>
        <w:rPr>
          <w:rFonts w:hint="eastAsia" w:ascii="宋体" w:hAnsi="宋体" w:eastAsia="宋体" w:cs="宋体"/>
          <w:b w:val="0"/>
          <w:bCs w:val="0"/>
          <w:kern w:val="0"/>
          <w:sz w:val="21"/>
          <w:szCs w:val="21"/>
        </w:rPr>
        <w:t>等相关需求</w:t>
      </w:r>
      <w:r>
        <w:rPr>
          <w:rFonts w:hint="eastAsia" w:ascii="宋体" w:hAnsi="宋体" w:eastAsia="宋体" w:cs="宋体"/>
          <w:b w:val="0"/>
          <w:bCs w:val="0"/>
          <w:kern w:val="0"/>
          <w:sz w:val="21"/>
          <w:szCs w:val="21"/>
          <w:lang w:eastAsia="zh-CN"/>
        </w:rPr>
        <w:t>及费用，</w:t>
      </w:r>
      <w:r>
        <w:rPr>
          <w:rFonts w:hint="eastAsia" w:ascii="宋体" w:hAnsi="宋体" w:eastAsia="宋体" w:cs="宋体"/>
          <w:b w:val="0"/>
          <w:bCs w:val="0"/>
          <w:kern w:val="0"/>
          <w:sz w:val="21"/>
          <w:szCs w:val="21"/>
        </w:rPr>
        <w:t>提供对应技术指导</w:t>
      </w:r>
      <w:r>
        <w:rPr>
          <w:rFonts w:hint="eastAsia" w:ascii="宋体" w:hAnsi="宋体" w:eastAsia="宋体" w:cs="宋体"/>
          <w:b w:val="0"/>
          <w:bCs w:val="0"/>
          <w:kern w:val="0"/>
          <w:sz w:val="21"/>
          <w:szCs w:val="21"/>
          <w:lang w:eastAsia="zh-CN"/>
        </w:rPr>
        <w:t>，确保</w:t>
      </w:r>
      <w:r>
        <w:rPr>
          <w:rFonts w:hint="eastAsia" w:ascii="宋体" w:hAnsi="宋体" w:eastAsia="宋体" w:cs="宋体"/>
          <w:b w:val="0"/>
          <w:bCs w:val="0"/>
          <w:spacing w:val="0"/>
          <w:kern w:val="0"/>
          <w:sz w:val="21"/>
          <w:szCs w:val="21"/>
          <w:lang w:val="en-US" w:eastAsia="zh-CN"/>
        </w:rPr>
        <w:t>光影作品</w:t>
      </w:r>
      <w:r>
        <w:rPr>
          <w:rFonts w:hint="eastAsia" w:ascii="宋体" w:hAnsi="宋体" w:eastAsia="宋体" w:cs="宋体"/>
          <w:b w:val="0"/>
          <w:bCs w:val="0"/>
          <w:kern w:val="0"/>
          <w:sz w:val="21"/>
          <w:szCs w:val="21"/>
          <w:lang w:eastAsia="zh-CN"/>
        </w:rPr>
        <w:t>呈现最佳效果。</w:t>
      </w:r>
    </w:p>
    <w:p w14:paraId="0B154F9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（2）</w:t>
      </w:r>
      <w:r>
        <w:rPr>
          <w:rFonts w:hint="eastAsia" w:ascii="宋体" w:hAnsi="宋体" w:eastAsia="宋体" w:cs="宋体"/>
          <w:b w:val="0"/>
          <w:bCs w:val="0"/>
          <w:kern w:val="0"/>
          <w:sz w:val="21"/>
          <w:szCs w:val="21"/>
        </w:rPr>
        <w:t>完成深化设计方案</w:t>
      </w: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包括但不限于作品的介绍、尺寸、结构、效果图</w:t>
      </w:r>
      <w:r>
        <w:rPr>
          <w:rFonts w:hint="eastAsia" w:ascii="宋体" w:hAnsi="宋体" w:eastAsia="宋体" w:cs="宋体"/>
          <w:b w:val="0"/>
          <w:bCs w:val="0"/>
          <w:kern w:val="0"/>
          <w:sz w:val="21"/>
          <w:szCs w:val="21"/>
          <w:lang w:eastAsia="zh-CN"/>
        </w:rPr>
        <w:t>、点位</w:t>
      </w:r>
      <w:r>
        <w:rPr>
          <w:rFonts w:hint="eastAsia" w:ascii="宋体" w:hAnsi="宋体" w:eastAsia="宋体" w:cs="宋体"/>
          <w:b w:val="0"/>
          <w:bCs w:val="0"/>
          <w:kern w:val="0"/>
          <w:sz w:val="21"/>
          <w:szCs w:val="21"/>
        </w:rPr>
        <w:t>等内容。</w:t>
      </w:r>
      <w:r>
        <w:rPr>
          <w:rFonts w:hint="eastAsia" w:ascii="宋体" w:hAnsi="宋体" w:eastAsia="宋体" w:cs="宋体"/>
          <w:b w:val="0"/>
          <w:bCs w:val="0"/>
          <w:kern w:val="0"/>
          <w:sz w:val="21"/>
          <w:szCs w:val="21"/>
          <w:lang w:eastAsia="zh-CN"/>
        </w:rPr>
        <w:t>同时做好</w:t>
      </w:r>
      <w:r>
        <w:rPr>
          <w:rFonts w:hint="eastAsia" w:ascii="宋体" w:hAnsi="宋体" w:eastAsia="宋体" w:cs="宋体"/>
          <w:b w:val="0"/>
          <w:bCs w:val="0"/>
          <w:kern w:val="0"/>
          <w:sz w:val="21"/>
          <w:szCs w:val="21"/>
        </w:rPr>
        <w:t>现场勘探，</w:t>
      </w:r>
      <w:r>
        <w:rPr>
          <w:rFonts w:hint="eastAsia" w:ascii="宋体" w:hAnsi="宋体" w:eastAsia="宋体" w:cs="宋体"/>
          <w:b w:val="0"/>
          <w:bCs w:val="0"/>
          <w:kern w:val="0"/>
          <w:sz w:val="21"/>
          <w:szCs w:val="21"/>
          <w:lang w:eastAsia="zh-CN"/>
        </w:rPr>
        <w:t>确保</w:t>
      </w:r>
      <w:r>
        <w:rPr>
          <w:rFonts w:hint="eastAsia" w:ascii="宋体" w:hAnsi="宋体" w:eastAsia="宋体" w:cs="宋体"/>
          <w:b w:val="0"/>
          <w:bCs w:val="0"/>
          <w:kern w:val="0"/>
          <w:sz w:val="21"/>
          <w:szCs w:val="21"/>
        </w:rPr>
        <w:t>供电</w:t>
      </w:r>
      <w:r>
        <w:rPr>
          <w:rFonts w:hint="eastAsia" w:ascii="宋体" w:hAnsi="宋体" w:eastAsia="宋体" w:cs="宋体"/>
          <w:b w:val="0"/>
          <w:bCs w:val="0"/>
          <w:kern w:val="0"/>
          <w:sz w:val="21"/>
          <w:szCs w:val="21"/>
          <w:lang w:eastAsia="zh-CN"/>
        </w:rPr>
        <w:t>、场地等</w:t>
      </w:r>
      <w:r>
        <w:rPr>
          <w:rFonts w:hint="eastAsia" w:ascii="宋体" w:hAnsi="宋体" w:eastAsia="宋体" w:cs="宋体"/>
          <w:b w:val="0"/>
          <w:bCs w:val="0"/>
          <w:kern w:val="0"/>
          <w:sz w:val="21"/>
          <w:szCs w:val="21"/>
        </w:rPr>
        <w:t>相关落地保障工作。</w:t>
      </w:r>
    </w:p>
    <w:p w14:paraId="52A22104">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（3）</w:t>
      </w:r>
      <w:r>
        <w:rPr>
          <w:rFonts w:hint="eastAsia" w:ascii="宋体" w:hAnsi="宋体" w:eastAsia="宋体" w:cs="宋体"/>
          <w:b w:val="0"/>
          <w:bCs w:val="0"/>
          <w:kern w:val="0"/>
          <w:sz w:val="21"/>
          <w:szCs w:val="21"/>
        </w:rPr>
        <w:t>完成</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制作。根据</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方案完成实物制作，做好</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品控保障，比对选择质量较好的材料，在工厂完成相关调试，确保结构安全。</w:t>
      </w:r>
    </w:p>
    <w:p w14:paraId="6A8DD72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（4）</w:t>
      </w:r>
      <w:r>
        <w:rPr>
          <w:rFonts w:hint="eastAsia" w:ascii="宋体" w:hAnsi="宋体" w:eastAsia="宋体" w:cs="宋体"/>
          <w:b w:val="0"/>
          <w:bCs w:val="0"/>
          <w:kern w:val="0"/>
          <w:sz w:val="21"/>
          <w:szCs w:val="21"/>
        </w:rPr>
        <w:t>完成</w:t>
      </w:r>
      <w:r>
        <w:rPr>
          <w:rFonts w:hint="eastAsia" w:ascii="宋体" w:hAnsi="宋体" w:eastAsia="宋体" w:cs="宋体"/>
          <w:b w:val="0"/>
          <w:bCs w:val="0"/>
          <w:kern w:val="0"/>
          <w:sz w:val="21"/>
          <w:szCs w:val="21"/>
          <w:lang w:eastAsia="zh-CN"/>
        </w:rPr>
        <w:t>作品布置</w:t>
      </w:r>
      <w:r>
        <w:rPr>
          <w:rFonts w:hint="eastAsia" w:ascii="宋体" w:hAnsi="宋体" w:eastAsia="宋体" w:cs="宋体"/>
          <w:b w:val="0"/>
          <w:bCs w:val="0"/>
          <w:kern w:val="0"/>
          <w:sz w:val="21"/>
          <w:szCs w:val="21"/>
        </w:rPr>
        <w:t>。按照</w:t>
      </w:r>
      <w:r>
        <w:rPr>
          <w:rFonts w:hint="eastAsia" w:ascii="宋体" w:hAnsi="宋体" w:eastAsia="宋体" w:cs="宋体"/>
          <w:b w:val="0"/>
          <w:bCs w:val="0"/>
          <w:kern w:val="0"/>
          <w:sz w:val="21"/>
          <w:szCs w:val="21"/>
          <w:lang w:eastAsia="zh-CN"/>
        </w:rPr>
        <w:t>布置</w:t>
      </w:r>
      <w:r>
        <w:rPr>
          <w:rFonts w:hint="eastAsia" w:ascii="宋体" w:hAnsi="宋体" w:eastAsia="宋体" w:cs="宋体"/>
          <w:b w:val="0"/>
          <w:bCs w:val="0"/>
          <w:kern w:val="0"/>
          <w:sz w:val="21"/>
          <w:szCs w:val="21"/>
        </w:rPr>
        <w:t>时间及要求，将</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实物完好无损运送至落地点位，结合现场实际情况，完成</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的组装搭建，连通电路，调试效果，直至</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的展示达到最佳效果</w:t>
      </w:r>
      <w:r>
        <w:rPr>
          <w:rFonts w:hint="eastAsia" w:ascii="宋体" w:hAnsi="宋体" w:eastAsia="宋体" w:cs="宋体"/>
          <w:b w:val="0"/>
          <w:bCs w:val="0"/>
          <w:kern w:val="0"/>
          <w:sz w:val="21"/>
          <w:szCs w:val="21"/>
          <w:lang w:eastAsia="zh-CN"/>
        </w:rPr>
        <w:t>，同时确保施工安全</w:t>
      </w:r>
      <w:r>
        <w:rPr>
          <w:rFonts w:hint="eastAsia" w:ascii="宋体" w:hAnsi="宋体" w:eastAsia="宋体" w:cs="宋体"/>
          <w:b w:val="0"/>
          <w:bCs w:val="0"/>
          <w:kern w:val="0"/>
          <w:sz w:val="21"/>
          <w:szCs w:val="21"/>
        </w:rPr>
        <w:t>。</w:t>
      </w:r>
    </w:p>
    <w:p w14:paraId="7338DC8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（5）</w:t>
      </w:r>
      <w:r>
        <w:rPr>
          <w:rFonts w:hint="eastAsia" w:ascii="宋体" w:hAnsi="宋体" w:eastAsia="宋体" w:cs="宋体"/>
          <w:b w:val="0"/>
          <w:bCs w:val="0"/>
          <w:kern w:val="0"/>
          <w:sz w:val="21"/>
          <w:szCs w:val="21"/>
        </w:rPr>
        <w:t>做好现场运维。需对</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进行日常维护，包括</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清洁、</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巡检、</w:t>
      </w:r>
      <w:r>
        <w:rPr>
          <w:rFonts w:hint="eastAsia" w:ascii="宋体" w:hAnsi="宋体" w:eastAsia="宋体" w:cs="宋体"/>
          <w:b w:val="0"/>
          <w:bCs w:val="0"/>
          <w:kern w:val="0"/>
          <w:sz w:val="21"/>
          <w:szCs w:val="21"/>
          <w:lang w:eastAsia="zh-CN"/>
        </w:rPr>
        <w:t>防盗、</w:t>
      </w:r>
      <w:r>
        <w:rPr>
          <w:rFonts w:hint="eastAsia" w:ascii="宋体" w:hAnsi="宋体" w:eastAsia="宋体" w:cs="宋体"/>
          <w:b w:val="0"/>
          <w:bCs w:val="0"/>
          <w:kern w:val="0"/>
          <w:sz w:val="21"/>
          <w:szCs w:val="21"/>
        </w:rPr>
        <w:t>故障修复、秩序维持、日常开关等工作，统计好人流量。</w:t>
      </w:r>
    </w:p>
    <w:p w14:paraId="4CFFEB15">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（6）</w:t>
      </w:r>
      <w:r>
        <w:rPr>
          <w:rFonts w:hint="eastAsia" w:ascii="宋体" w:hAnsi="宋体" w:eastAsia="宋体" w:cs="宋体"/>
          <w:b w:val="0"/>
          <w:bCs w:val="0"/>
          <w:kern w:val="0"/>
          <w:sz w:val="21"/>
          <w:szCs w:val="21"/>
        </w:rPr>
        <w:t>完成</w:t>
      </w:r>
      <w:r>
        <w:rPr>
          <w:rFonts w:hint="eastAsia" w:ascii="宋体" w:hAnsi="宋体" w:eastAsia="宋体" w:cs="宋体"/>
          <w:b w:val="0"/>
          <w:bCs w:val="0"/>
          <w:kern w:val="0"/>
          <w:sz w:val="21"/>
          <w:szCs w:val="21"/>
          <w:lang w:eastAsia="zh-CN"/>
        </w:rPr>
        <w:t>作品撤场</w:t>
      </w:r>
      <w:r>
        <w:rPr>
          <w:rFonts w:hint="eastAsia" w:ascii="宋体" w:hAnsi="宋体" w:eastAsia="宋体" w:cs="宋体"/>
          <w:b w:val="0"/>
          <w:bCs w:val="0"/>
          <w:kern w:val="0"/>
          <w:sz w:val="21"/>
          <w:szCs w:val="21"/>
        </w:rPr>
        <w:t>。按照</w:t>
      </w:r>
      <w:r>
        <w:rPr>
          <w:rFonts w:hint="eastAsia" w:ascii="宋体" w:hAnsi="宋体" w:eastAsia="宋体" w:cs="宋体"/>
          <w:b w:val="0"/>
          <w:bCs w:val="0"/>
          <w:kern w:val="0"/>
          <w:sz w:val="21"/>
          <w:szCs w:val="21"/>
          <w:lang w:eastAsia="zh-CN"/>
        </w:rPr>
        <w:t>采购单位</w:t>
      </w:r>
      <w:r>
        <w:rPr>
          <w:rFonts w:hint="eastAsia" w:ascii="宋体" w:hAnsi="宋体" w:eastAsia="宋体" w:cs="宋体"/>
          <w:b w:val="0"/>
          <w:bCs w:val="0"/>
          <w:kern w:val="0"/>
          <w:sz w:val="21"/>
          <w:szCs w:val="21"/>
        </w:rPr>
        <w:t>要求对</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进行处置，完成</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的撤场，并恢复场地原状</w:t>
      </w:r>
      <w:r>
        <w:rPr>
          <w:rFonts w:hint="eastAsia" w:ascii="宋体" w:hAnsi="宋体" w:eastAsia="宋体" w:cs="宋体"/>
          <w:b w:val="0"/>
          <w:bCs w:val="0"/>
          <w:kern w:val="0"/>
          <w:sz w:val="21"/>
          <w:szCs w:val="21"/>
          <w:lang w:eastAsia="zh-CN"/>
        </w:rPr>
        <w:t>，得到场地方认可。</w:t>
      </w:r>
    </w:p>
    <w:p w14:paraId="1A20F4D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（7）</w:t>
      </w:r>
      <w:r>
        <w:rPr>
          <w:rFonts w:hint="eastAsia" w:ascii="宋体" w:hAnsi="宋体" w:eastAsia="宋体" w:cs="宋体"/>
          <w:b w:val="0"/>
          <w:bCs w:val="0"/>
          <w:kern w:val="0"/>
          <w:sz w:val="21"/>
          <w:szCs w:val="21"/>
          <w:lang w:eastAsia="zh-CN"/>
        </w:rPr>
        <w:t>完成作品延展物料。按照采购单位要求为每件</w:t>
      </w:r>
      <w:r>
        <w:rPr>
          <w:rFonts w:hint="eastAsia" w:ascii="宋体" w:hAnsi="宋体" w:eastAsia="宋体" w:cs="宋体"/>
          <w:b w:val="0"/>
          <w:bCs w:val="0"/>
          <w:spacing w:val="0"/>
          <w:kern w:val="0"/>
          <w:sz w:val="21"/>
          <w:szCs w:val="21"/>
          <w:lang w:val="en-US" w:eastAsia="zh-CN"/>
        </w:rPr>
        <w:t>光影作品</w:t>
      </w:r>
      <w:r>
        <w:rPr>
          <w:rFonts w:hint="eastAsia" w:ascii="宋体" w:hAnsi="宋体" w:eastAsia="宋体" w:cs="宋体"/>
          <w:b w:val="0"/>
          <w:bCs w:val="0"/>
          <w:kern w:val="0"/>
          <w:sz w:val="21"/>
          <w:szCs w:val="21"/>
          <w:lang w:eastAsia="zh-CN"/>
        </w:rPr>
        <w:t>配置一处标识牌介绍，并做好制作布置及运维工作。</w:t>
      </w:r>
    </w:p>
    <w:p w14:paraId="003ECBE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（8）</w:t>
      </w:r>
      <w:r>
        <w:rPr>
          <w:rFonts w:hint="eastAsia" w:ascii="宋体" w:hAnsi="宋体" w:eastAsia="宋体" w:cs="宋体"/>
          <w:b w:val="0"/>
          <w:bCs w:val="0"/>
          <w:kern w:val="0"/>
          <w:sz w:val="21"/>
          <w:szCs w:val="21"/>
        </w:rPr>
        <w:t>做好</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拍摄</w:t>
      </w:r>
      <w:r>
        <w:rPr>
          <w:rFonts w:hint="eastAsia" w:ascii="宋体" w:hAnsi="宋体" w:eastAsia="宋体" w:cs="宋体"/>
          <w:b w:val="0"/>
          <w:bCs w:val="0"/>
          <w:kern w:val="0"/>
          <w:sz w:val="21"/>
          <w:szCs w:val="21"/>
          <w:lang w:eastAsia="zh-CN"/>
        </w:rPr>
        <w:t>宣传</w:t>
      </w:r>
      <w:r>
        <w:rPr>
          <w:rFonts w:hint="eastAsia" w:ascii="宋体" w:hAnsi="宋体" w:eastAsia="宋体" w:cs="宋体"/>
          <w:b w:val="0"/>
          <w:bCs w:val="0"/>
          <w:kern w:val="0"/>
          <w:sz w:val="21"/>
          <w:szCs w:val="21"/>
        </w:rPr>
        <w:t>。</w:t>
      </w:r>
      <w:r>
        <w:rPr>
          <w:rFonts w:hint="eastAsia" w:ascii="宋体" w:hAnsi="宋体" w:eastAsia="宋体" w:cs="宋体"/>
          <w:b w:val="0"/>
          <w:bCs w:val="0"/>
          <w:kern w:val="0"/>
          <w:sz w:val="21"/>
          <w:szCs w:val="21"/>
          <w:lang w:eastAsia="zh-CN"/>
        </w:rPr>
        <w:t>安排专业摄影摄像团队，</w:t>
      </w:r>
      <w:r>
        <w:rPr>
          <w:rFonts w:hint="eastAsia" w:ascii="宋体" w:hAnsi="宋体" w:eastAsia="宋体" w:cs="宋体"/>
          <w:b w:val="0"/>
          <w:bCs w:val="0"/>
          <w:kern w:val="0"/>
          <w:sz w:val="21"/>
          <w:szCs w:val="21"/>
        </w:rPr>
        <w:t>拍摄记录好</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搭建、调试过程素材，</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完成后多角度、多方式拍摄实景图、观众参观图、视频等相关内容</w:t>
      </w:r>
      <w:r>
        <w:rPr>
          <w:rFonts w:hint="eastAsia" w:ascii="宋体" w:hAnsi="宋体" w:eastAsia="宋体" w:cs="宋体"/>
          <w:b w:val="0"/>
          <w:bCs w:val="0"/>
          <w:kern w:val="0"/>
          <w:sz w:val="21"/>
          <w:szCs w:val="21"/>
          <w:lang w:eastAsia="zh-CN"/>
        </w:rPr>
        <w:t>，并配合做好相关宣传</w:t>
      </w:r>
      <w:r>
        <w:rPr>
          <w:rFonts w:hint="eastAsia" w:ascii="宋体" w:hAnsi="宋体" w:eastAsia="宋体" w:cs="宋体"/>
          <w:b w:val="0"/>
          <w:bCs w:val="0"/>
          <w:kern w:val="0"/>
          <w:sz w:val="21"/>
          <w:szCs w:val="21"/>
        </w:rPr>
        <w:t>。</w:t>
      </w:r>
    </w:p>
    <w:p w14:paraId="7E7D60D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bidi="ar-SA"/>
        </w:rPr>
        <w:t>（9）</w:t>
      </w:r>
      <w:r>
        <w:rPr>
          <w:rFonts w:hint="eastAsia" w:ascii="宋体" w:hAnsi="宋体" w:eastAsia="宋体" w:cs="宋体"/>
          <w:b w:val="0"/>
          <w:bCs w:val="0"/>
          <w:kern w:val="0"/>
          <w:sz w:val="21"/>
          <w:szCs w:val="21"/>
        </w:rPr>
        <w:t>做好</w:t>
      </w:r>
      <w:r>
        <w:rPr>
          <w:rFonts w:hint="eastAsia" w:ascii="宋体" w:hAnsi="宋体" w:eastAsia="宋体" w:cs="宋体"/>
          <w:b w:val="0"/>
          <w:bCs w:val="0"/>
          <w:kern w:val="0"/>
          <w:sz w:val="21"/>
          <w:szCs w:val="21"/>
          <w:lang w:eastAsia="zh-CN"/>
        </w:rPr>
        <w:t>作品讲解</w:t>
      </w:r>
      <w:r>
        <w:rPr>
          <w:rFonts w:hint="eastAsia" w:ascii="宋体" w:hAnsi="宋体" w:eastAsia="宋体" w:cs="宋体"/>
          <w:b w:val="0"/>
          <w:bCs w:val="0"/>
          <w:kern w:val="0"/>
          <w:sz w:val="21"/>
          <w:szCs w:val="21"/>
        </w:rPr>
        <w:t>。完善</w:t>
      </w:r>
      <w:r>
        <w:rPr>
          <w:rFonts w:hint="eastAsia" w:ascii="宋体" w:hAnsi="宋体" w:eastAsia="宋体" w:cs="宋体"/>
          <w:b w:val="0"/>
          <w:bCs w:val="0"/>
          <w:kern w:val="0"/>
          <w:sz w:val="21"/>
          <w:szCs w:val="21"/>
          <w:lang w:eastAsia="zh-CN"/>
        </w:rPr>
        <w:t>作品</w:t>
      </w:r>
      <w:r>
        <w:rPr>
          <w:rFonts w:hint="eastAsia" w:ascii="宋体" w:hAnsi="宋体" w:eastAsia="宋体" w:cs="宋体"/>
          <w:b w:val="0"/>
          <w:bCs w:val="0"/>
          <w:kern w:val="0"/>
          <w:sz w:val="21"/>
          <w:szCs w:val="21"/>
        </w:rPr>
        <w:t>信息内</w:t>
      </w:r>
      <w:r>
        <w:rPr>
          <w:rFonts w:hint="eastAsia" w:ascii="宋体" w:hAnsi="宋体" w:eastAsia="宋体" w:cs="宋体"/>
          <w:b w:val="0"/>
          <w:bCs w:val="0"/>
          <w:kern w:val="0"/>
          <w:sz w:val="21"/>
          <w:szCs w:val="21"/>
          <w:lang w:eastAsia="zh-CN"/>
        </w:rPr>
        <w:t>容</w:t>
      </w:r>
      <w:r>
        <w:rPr>
          <w:rFonts w:hint="eastAsia" w:ascii="宋体" w:hAnsi="宋体" w:eastAsia="宋体" w:cs="宋体"/>
          <w:b w:val="0"/>
          <w:bCs w:val="0"/>
          <w:kern w:val="0"/>
          <w:sz w:val="21"/>
          <w:szCs w:val="21"/>
        </w:rPr>
        <w:t>，</w:t>
      </w:r>
      <w:r>
        <w:rPr>
          <w:rFonts w:hint="eastAsia" w:ascii="宋体" w:hAnsi="宋体" w:eastAsia="宋体" w:cs="宋体"/>
          <w:b w:val="0"/>
          <w:bCs w:val="0"/>
          <w:kern w:val="0"/>
          <w:sz w:val="21"/>
          <w:szCs w:val="21"/>
          <w:lang w:eastAsia="zh-CN"/>
        </w:rPr>
        <w:t>配合采购单位做好作品讲解等系列工作</w:t>
      </w:r>
      <w:r>
        <w:rPr>
          <w:rFonts w:hint="eastAsia" w:ascii="宋体" w:hAnsi="宋体" w:eastAsia="宋体" w:cs="宋体"/>
          <w:b w:val="0"/>
          <w:bCs w:val="0"/>
          <w:kern w:val="0"/>
          <w:sz w:val="21"/>
          <w:szCs w:val="21"/>
        </w:rPr>
        <w:t>。</w:t>
      </w:r>
    </w:p>
    <w:p w14:paraId="1EF85CA5">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jc w:val="both"/>
        <w:textAlignment w:val="baseline"/>
        <w:outlineLvl w:val="1"/>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bidi="ar-SA"/>
        </w:rPr>
        <w:t>3、</w:t>
      </w:r>
      <w:r>
        <w:rPr>
          <w:rFonts w:hint="eastAsia" w:ascii="宋体" w:hAnsi="宋体" w:eastAsia="宋体" w:cs="宋体"/>
          <w:b w:val="0"/>
          <w:bCs w:val="0"/>
          <w:kern w:val="0"/>
          <w:sz w:val="21"/>
          <w:szCs w:val="21"/>
          <w:lang w:val="en-US" w:eastAsia="zh-CN"/>
        </w:rPr>
        <w:t>活动组织策划：投标单位需配合采购单位落实好活动安排，并完成相关服务内容，包括但不限于对接两项活动组织者协助做好活动策划，完成活动方案，开展相关活动，并做好拍摄宣传等。</w:t>
      </w:r>
    </w:p>
    <w:p w14:paraId="296FFD6C">
      <w:pPr>
        <w:keepNext w:val="0"/>
        <w:keepLines w:val="0"/>
        <w:pageBreakBefore w:val="0"/>
        <w:widowControl w:val="0"/>
        <w:numPr>
          <w:ilvl w:val="0"/>
          <w:numId w:val="0"/>
        </w:numPr>
        <w:kinsoku/>
        <w:wordWrap/>
        <w:overflowPunct/>
        <w:topLinePunct w:val="0"/>
        <w:autoSpaceDE/>
        <w:autoSpaceDN/>
        <w:bidi w:val="0"/>
        <w:snapToGrid/>
        <w:spacing w:line="360" w:lineRule="auto"/>
        <w:ind w:left="0" w:firstLine="420" w:firstLineChars="200"/>
        <w:rPr>
          <w:rFonts w:hint="eastAsia" w:ascii="宋体" w:hAnsi="宋体" w:eastAsia="宋体" w:cs="宋体"/>
          <w:b w:val="0"/>
          <w:bCs w:val="0"/>
          <w:kern w:val="0"/>
          <w:sz w:val="21"/>
          <w:szCs w:val="21"/>
          <w:lang w:eastAsia="zh-CN"/>
        </w:rPr>
      </w:pPr>
      <w:r>
        <w:rPr>
          <w:rFonts w:hint="eastAsia" w:ascii="宋体" w:hAnsi="宋体" w:eastAsia="宋体" w:cs="宋体"/>
          <w:b w:val="0"/>
          <w:bCs w:val="0"/>
          <w:kern w:val="0"/>
          <w:sz w:val="21"/>
          <w:szCs w:val="21"/>
          <w:lang w:val="en-US" w:eastAsia="zh-CN" w:bidi="ar-SA"/>
        </w:rPr>
        <w:t>（1）</w:t>
      </w:r>
      <w:r>
        <w:rPr>
          <w:rFonts w:hint="eastAsia" w:ascii="宋体" w:hAnsi="宋体" w:eastAsia="宋体" w:cs="宋体"/>
          <w:b w:val="0"/>
          <w:bCs w:val="0"/>
          <w:kern w:val="0"/>
          <w:sz w:val="21"/>
          <w:szCs w:val="21"/>
          <w:lang w:val="en-US" w:eastAsia="zh-CN"/>
        </w:rPr>
        <w:t>对接活动组织者。</w:t>
      </w:r>
      <w:r>
        <w:rPr>
          <w:rFonts w:hint="eastAsia" w:ascii="宋体" w:hAnsi="宋体" w:eastAsia="宋体" w:cs="宋体"/>
          <w:b w:val="0"/>
          <w:bCs w:val="0"/>
          <w:kern w:val="0"/>
          <w:sz w:val="21"/>
          <w:szCs w:val="21"/>
        </w:rPr>
        <w:t>与</w:t>
      </w:r>
      <w:r>
        <w:rPr>
          <w:rFonts w:hint="eastAsia" w:ascii="宋体" w:hAnsi="宋体" w:eastAsia="宋体" w:cs="宋体"/>
          <w:b w:val="0"/>
          <w:bCs w:val="0"/>
          <w:kern w:val="0"/>
          <w:sz w:val="21"/>
          <w:szCs w:val="21"/>
          <w:lang w:eastAsia="zh-CN"/>
        </w:rPr>
        <w:t>活动策划者</w:t>
      </w:r>
      <w:r>
        <w:rPr>
          <w:rFonts w:hint="eastAsia" w:ascii="宋体" w:hAnsi="宋体" w:eastAsia="宋体" w:cs="宋体"/>
          <w:b w:val="0"/>
          <w:bCs w:val="0"/>
          <w:kern w:val="0"/>
          <w:sz w:val="21"/>
          <w:szCs w:val="21"/>
        </w:rPr>
        <w:t>建立良好的合作关系，配合</w:t>
      </w:r>
      <w:r>
        <w:rPr>
          <w:rFonts w:hint="eastAsia" w:ascii="宋体" w:hAnsi="宋体" w:eastAsia="宋体" w:cs="宋体"/>
          <w:b w:val="0"/>
          <w:bCs w:val="0"/>
          <w:kern w:val="0"/>
          <w:sz w:val="21"/>
          <w:szCs w:val="21"/>
          <w:lang w:eastAsia="zh-CN"/>
        </w:rPr>
        <w:t>做好</w:t>
      </w:r>
      <w:r>
        <w:rPr>
          <w:rFonts w:hint="eastAsia" w:ascii="宋体" w:hAnsi="宋体" w:eastAsia="宋体" w:cs="宋体"/>
          <w:b w:val="0"/>
          <w:bCs w:val="0"/>
          <w:kern w:val="0"/>
          <w:sz w:val="21"/>
          <w:szCs w:val="21"/>
        </w:rPr>
        <w:t>现场勘探、</w:t>
      </w:r>
      <w:r>
        <w:rPr>
          <w:rFonts w:hint="eastAsia" w:ascii="宋体" w:hAnsi="宋体" w:eastAsia="宋体" w:cs="宋体"/>
          <w:b w:val="0"/>
          <w:bCs w:val="0"/>
          <w:kern w:val="0"/>
          <w:sz w:val="21"/>
          <w:szCs w:val="21"/>
          <w:lang w:eastAsia="zh-CN"/>
        </w:rPr>
        <w:t>活动申报、活动组织</w:t>
      </w:r>
      <w:r>
        <w:rPr>
          <w:rFonts w:hint="eastAsia" w:ascii="宋体" w:hAnsi="宋体" w:eastAsia="宋体" w:cs="宋体"/>
          <w:b w:val="0"/>
          <w:bCs w:val="0"/>
          <w:kern w:val="0"/>
          <w:sz w:val="21"/>
          <w:szCs w:val="21"/>
        </w:rPr>
        <w:t>等相关需求</w:t>
      </w:r>
      <w:r>
        <w:rPr>
          <w:rFonts w:hint="eastAsia" w:ascii="宋体" w:hAnsi="宋体" w:eastAsia="宋体" w:cs="宋体"/>
          <w:b w:val="0"/>
          <w:bCs w:val="0"/>
          <w:kern w:val="0"/>
          <w:sz w:val="21"/>
          <w:szCs w:val="21"/>
          <w:lang w:eastAsia="zh-CN"/>
        </w:rPr>
        <w:t>及费用，</w:t>
      </w:r>
      <w:r>
        <w:rPr>
          <w:rFonts w:hint="eastAsia" w:ascii="宋体" w:hAnsi="宋体" w:eastAsia="宋体" w:cs="宋体"/>
          <w:b w:val="0"/>
          <w:bCs w:val="0"/>
          <w:kern w:val="0"/>
          <w:sz w:val="21"/>
          <w:szCs w:val="21"/>
        </w:rPr>
        <w:t>提供</w:t>
      </w:r>
      <w:r>
        <w:rPr>
          <w:rFonts w:hint="eastAsia" w:ascii="宋体" w:hAnsi="宋体" w:eastAsia="宋体" w:cs="宋体"/>
          <w:b w:val="0"/>
          <w:bCs w:val="0"/>
          <w:kern w:val="0"/>
          <w:sz w:val="21"/>
          <w:szCs w:val="21"/>
          <w:lang w:eastAsia="zh-CN"/>
        </w:rPr>
        <w:t>专业活动策划</w:t>
      </w:r>
      <w:r>
        <w:rPr>
          <w:rFonts w:hint="eastAsia" w:ascii="宋体" w:hAnsi="宋体" w:eastAsia="宋体" w:cs="宋体"/>
          <w:b w:val="0"/>
          <w:bCs w:val="0"/>
          <w:kern w:val="0"/>
          <w:sz w:val="21"/>
          <w:szCs w:val="21"/>
        </w:rPr>
        <w:t>指导</w:t>
      </w:r>
      <w:r>
        <w:rPr>
          <w:rFonts w:hint="eastAsia" w:ascii="宋体" w:hAnsi="宋体" w:eastAsia="宋体" w:cs="宋体"/>
          <w:b w:val="0"/>
          <w:bCs w:val="0"/>
          <w:kern w:val="0"/>
          <w:sz w:val="21"/>
          <w:szCs w:val="21"/>
          <w:lang w:eastAsia="zh-CN"/>
        </w:rPr>
        <w:t>，确保活动顺利举办。</w:t>
      </w:r>
    </w:p>
    <w:p w14:paraId="3DA64324">
      <w:pPr>
        <w:keepNext w:val="0"/>
        <w:keepLines w:val="0"/>
        <w:pageBreakBefore w:val="0"/>
        <w:widowControl w:val="0"/>
        <w:numPr>
          <w:ilvl w:val="0"/>
          <w:numId w:val="0"/>
        </w:numPr>
        <w:kinsoku/>
        <w:wordWrap/>
        <w:overflowPunct/>
        <w:topLinePunct w:val="0"/>
        <w:autoSpaceDE/>
        <w:autoSpaceDN/>
        <w:bidi w:val="0"/>
        <w:snapToGrid/>
        <w:spacing w:line="360" w:lineRule="auto"/>
        <w:ind w:left="0" w:firstLine="420" w:firstLineChars="200"/>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bidi="ar-SA"/>
        </w:rPr>
        <w:t>（2）</w:t>
      </w:r>
      <w:r>
        <w:rPr>
          <w:rFonts w:hint="eastAsia" w:ascii="宋体" w:hAnsi="宋体" w:eastAsia="宋体" w:cs="宋体"/>
          <w:b w:val="0"/>
          <w:bCs w:val="0"/>
          <w:kern w:val="0"/>
          <w:sz w:val="21"/>
          <w:szCs w:val="21"/>
          <w:lang w:val="en-US" w:eastAsia="zh-CN"/>
        </w:rPr>
        <w:t>完成活动方案。</w:t>
      </w:r>
      <w:r>
        <w:rPr>
          <w:rFonts w:hint="eastAsia" w:ascii="宋体" w:hAnsi="宋体" w:eastAsia="宋体" w:cs="宋体"/>
          <w:b w:val="0"/>
          <w:bCs w:val="0"/>
          <w:kern w:val="0"/>
          <w:sz w:val="21"/>
          <w:szCs w:val="21"/>
        </w:rPr>
        <w:t>包括但不限于</w:t>
      </w:r>
      <w:r>
        <w:rPr>
          <w:rFonts w:hint="eastAsia" w:ascii="宋体" w:hAnsi="宋体" w:eastAsia="宋体" w:cs="宋体"/>
          <w:b w:val="0"/>
          <w:bCs w:val="0"/>
          <w:kern w:val="0"/>
          <w:sz w:val="21"/>
          <w:szCs w:val="21"/>
          <w:lang w:eastAsia="zh-CN"/>
        </w:rPr>
        <w:t>活动</w:t>
      </w:r>
      <w:r>
        <w:rPr>
          <w:rFonts w:hint="eastAsia" w:ascii="宋体" w:hAnsi="宋体" w:eastAsia="宋体" w:cs="宋体"/>
          <w:b w:val="0"/>
          <w:bCs w:val="0"/>
          <w:kern w:val="0"/>
          <w:sz w:val="21"/>
          <w:szCs w:val="21"/>
        </w:rPr>
        <w:t>的介绍、</w:t>
      </w:r>
      <w:r>
        <w:rPr>
          <w:rFonts w:hint="eastAsia" w:ascii="宋体" w:hAnsi="宋体" w:eastAsia="宋体" w:cs="宋体"/>
          <w:b w:val="0"/>
          <w:bCs w:val="0"/>
          <w:kern w:val="0"/>
          <w:sz w:val="21"/>
          <w:szCs w:val="21"/>
          <w:lang w:eastAsia="zh-CN"/>
        </w:rPr>
        <w:t>点位、详细安排</w:t>
      </w:r>
      <w:r>
        <w:rPr>
          <w:rFonts w:hint="eastAsia" w:ascii="宋体" w:hAnsi="宋体" w:eastAsia="宋体" w:cs="宋体"/>
          <w:b w:val="0"/>
          <w:bCs w:val="0"/>
          <w:kern w:val="0"/>
          <w:sz w:val="21"/>
          <w:szCs w:val="21"/>
        </w:rPr>
        <w:t>等内容。</w:t>
      </w:r>
    </w:p>
    <w:p w14:paraId="71709CC4">
      <w:pPr>
        <w:keepNext w:val="0"/>
        <w:keepLines w:val="0"/>
        <w:pageBreakBefore w:val="0"/>
        <w:widowControl w:val="0"/>
        <w:numPr>
          <w:ilvl w:val="0"/>
          <w:numId w:val="0"/>
        </w:numPr>
        <w:kinsoku/>
        <w:wordWrap/>
        <w:overflowPunct/>
        <w:topLinePunct w:val="0"/>
        <w:autoSpaceDE/>
        <w:autoSpaceDN/>
        <w:bidi w:val="0"/>
        <w:snapToGrid/>
        <w:spacing w:line="360" w:lineRule="auto"/>
        <w:ind w:left="0" w:firstLine="420" w:firstLineChars="200"/>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bidi="ar-SA"/>
        </w:rPr>
        <w:t>（3）</w:t>
      </w:r>
      <w:r>
        <w:rPr>
          <w:rFonts w:hint="eastAsia" w:ascii="宋体" w:hAnsi="宋体" w:eastAsia="宋体" w:cs="宋体"/>
          <w:b w:val="0"/>
          <w:bCs w:val="0"/>
          <w:kern w:val="0"/>
          <w:sz w:val="21"/>
          <w:szCs w:val="21"/>
          <w:lang w:val="en-US" w:eastAsia="zh-CN"/>
        </w:rPr>
        <w:t>开展相关活动。按照采购单位要求组织开展完成相关活动申报、执行。</w:t>
      </w:r>
    </w:p>
    <w:p w14:paraId="4D49A0E7">
      <w:pPr>
        <w:keepNext w:val="0"/>
        <w:keepLines w:val="0"/>
        <w:pageBreakBefore w:val="0"/>
        <w:widowControl w:val="0"/>
        <w:numPr>
          <w:ilvl w:val="-1"/>
          <w:numId w:val="0"/>
        </w:numPr>
        <w:kinsoku/>
        <w:wordWrap/>
        <w:overflowPunct/>
        <w:topLinePunct w:val="0"/>
        <w:autoSpaceDE/>
        <w:autoSpaceDN/>
        <w:bidi w:val="0"/>
        <w:snapToGrid/>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kern w:val="0"/>
          <w:sz w:val="21"/>
          <w:szCs w:val="21"/>
          <w:lang w:val="en-US" w:eastAsia="zh-CN"/>
        </w:rPr>
        <w:t>（4）做好宣传拍摄。活动期间安排专业摄影摄像团队对活动进行拍摄。</w:t>
      </w:r>
    </w:p>
    <w:p w14:paraId="43AAC92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20" w:firstLineChars="200"/>
        <w:textAlignment w:val="baseline"/>
        <w:outlineLvl w:val="1"/>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bidi="ar-SA"/>
        </w:rPr>
        <w:t>4、</w:t>
      </w:r>
      <w:r>
        <w:rPr>
          <w:rFonts w:hint="eastAsia" w:ascii="宋体" w:hAnsi="宋体" w:eastAsia="宋体" w:cs="宋体"/>
          <w:b w:val="0"/>
          <w:bCs w:val="0"/>
          <w:kern w:val="0"/>
          <w:sz w:val="21"/>
          <w:szCs w:val="21"/>
          <w:lang w:eastAsia="zh-CN"/>
        </w:rPr>
        <w:t>配合好采购单位</w:t>
      </w:r>
      <w:r>
        <w:rPr>
          <w:rFonts w:hint="eastAsia" w:ascii="宋体" w:hAnsi="宋体" w:eastAsia="宋体" w:cs="宋体"/>
          <w:b w:val="0"/>
          <w:bCs w:val="0"/>
          <w:kern w:val="0"/>
          <w:sz w:val="21"/>
          <w:szCs w:val="21"/>
        </w:rPr>
        <w:t>要求的与项目相关的其他事项。</w:t>
      </w:r>
    </w:p>
    <w:p w14:paraId="2A4A497C">
      <w:pPr>
        <w:pStyle w:val="51"/>
        <w:keepNext w:val="0"/>
        <w:keepLines w:val="0"/>
        <w:pageBreakBefore w:val="0"/>
        <w:widowControl w:val="0"/>
        <w:numPr>
          <w:ilvl w:val="0"/>
          <w:numId w:val="0"/>
        </w:numPr>
        <w:kinsoku/>
        <w:wordWrap/>
        <w:overflowPunct/>
        <w:topLinePunct w:val="0"/>
        <w:autoSpaceDE/>
        <w:autoSpaceDN/>
        <w:bidi w:val="0"/>
        <w:spacing w:before="0" w:after="0" w:line="360" w:lineRule="auto"/>
        <w:ind w:left="0" w:firstLine="462" w:firstLineChars="200"/>
        <w:rPr>
          <w:rFonts w:hint="eastAsia" w:ascii="宋体" w:hAnsi="宋体" w:eastAsia="宋体" w:cs="宋体"/>
          <w:b w:val="0"/>
          <w:bCs w:val="0"/>
          <w:kern w:val="0"/>
          <w:sz w:val="21"/>
          <w:szCs w:val="21"/>
          <w:lang w:val="en-US" w:eastAsia="zh-CN"/>
        </w:rPr>
      </w:pPr>
      <w:r>
        <w:rPr>
          <w:rFonts w:hint="eastAsia" w:ascii="宋体" w:hAnsi="宋体" w:eastAsia="宋体" w:cs="宋体"/>
          <w:b/>
          <w:bCs/>
          <w:kern w:val="0"/>
          <w:sz w:val="21"/>
          <w:szCs w:val="21"/>
          <w:lang w:val="en-US" w:eastAsia="zh-CN"/>
        </w:rPr>
        <w:t>（三）服务具体要求：</w:t>
      </w:r>
    </w:p>
    <w:p w14:paraId="58049EEB">
      <w:pPr>
        <w:keepNext w:val="0"/>
        <w:keepLines w:val="0"/>
        <w:pageBreakBefore w:val="0"/>
        <w:widowControl w:val="0"/>
        <w:kinsoku/>
        <w:wordWrap/>
        <w:overflowPunct/>
        <w:topLinePunct w:val="0"/>
        <w:autoSpaceDE/>
        <w:autoSpaceDN/>
        <w:bidi w:val="0"/>
        <w:snapToGrid w:val="0"/>
        <w:spacing w:line="360" w:lineRule="auto"/>
        <w:ind w:left="0" w:firstLine="420" w:firstLineChars="200"/>
        <w:jc w:val="left"/>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时间要求</w:t>
      </w:r>
    </w:p>
    <w:p w14:paraId="066FD33A">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（1）202</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年1</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月</w:t>
      </w:r>
      <w:r>
        <w:rPr>
          <w:rFonts w:hint="eastAsia" w:ascii="宋体" w:hAnsi="宋体" w:eastAsia="宋体" w:cs="宋体"/>
          <w:b w:val="0"/>
          <w:bCs w:val="0"/>
          <w:sz w:val="21"/>
          <w:szCs w:val="21"/>
          <w:lang w:val="en-US" w:eastAsia="zh-CN"/>
        </w:rPr>
        <w:t>6</w:t>
      </w:r>
      <w:r>
        <w:rPr>
          <w:rFonts w:hint="eastAsia" w:ascii="宋体" w:hAnsi="宋体" w:eastAsia="宋体" w:cs="宋体"/>
          <w:b w:val="0"/>
          <w:bCs w:val="0"/>
          <w:sz w:val="21"/>
          <w:szCs w:val="21"/>
        </w:rPr>
        <w:t>日，</w:t>
      </w:r>
      <w:r>
        <w:rPr>
          <w:rFonts w:hint="eastAsia" w:ascii="宋体" w:hAnsi="宋体" w:eastAsia="宋体" w:cs="宋体"/>
          <w:b w:val="0"/>
          <w:bCs w:val="0"/>
          <w:sz w:val="21"/>
          <w:szCs w:val="21"/>
          <w:lang w:eastAsia="zh-CN"/>
        </w:rPr>
        <w:t>中标单位</w:t>
      </w:r>
      <w:r>
        <w:rPr>
          <w:rFonts w:hint="eastAsia" w:ascii="宋体" w:hAnsi="宋体" w:eastAsia="宋体" w:cs="宋体"/>
          <w:b w:val="0"/>
          <w:bCs w:val="0"/>
          <w:sz w:val="21"/>
          <w:szCs w:val="21"/>
        </w:rPr>
        <w:t>向</w:t>
      </w:r>
      <w:r>
        <w:rPr>
          <w:rFonts w:hint="eastAsia" w:ascii="宋体" w:hAnsi="宋体" w:eastAsia="宋体" w:cs="宋体"/>
          <w:b w:val="0"/>
          <w:bCs w:val="0"/>
          <w:sz w:val="21"/>
          <w:szCs w:val="21"/>
          <w:lang w:eastAsia="zh-CN"/>
        </w:rPr>
        <w:t>采购单位</w:t>
      </w:r>
      <w:r>
        <w:rPr>
          <w:rFonts w:hint="eastAsia" w:ascii="宋体" w:hAnsi="宋体" w:eastAsia="宋体" w:cs="宋体"/>
          <w:b w:val="0"/>
          <w:bCs w:val="0"/>
          <w:sz w:val="21"/>
          <w:szCs w:val="21"/>
        </w:rPr>
        <w:t>提供</w:t>
      </w:r>
      <w:r>
        <w:rPr>
          <w:rFonts w:hint="eastAsia" w:ascii="宋体" w:hAnsi="宋体" w:eastAsia="宋体" w:cs="宋体"/>
          <w:b w:val="0"/>
          <w:bCs w:val="0"/>
          <w:sz w:val="21"/>
          <w:szCs w:val="21"/>
          <w:lang w:eastAsia="zh-CN"/>
        </w:rPr>
        <w:t>最终确定的《总体策划方案》</w:t>
      </w:r>
      <w:r>
        <w:rPr>
          <w:rFonts w:hint="eastAsia" w:ascii="宋体" w:hAnsi="宋体" w:eastAsia="宋体" w:cs="宋体"/>
          <w:b w:val="0"/>
          <w:bCs w:val="0"/>
          <w:sz w:val="21"/>
          <w:szCs w:val="21"/>
        </w:rPr>
        <w:t>。</w:t>
      </w:r>
    </w:p>
    <w:p w14:paraId="592E906A">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（2）202</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年12月</w:t>
      </w:r>
      <w:r>
        <w:rPr>
          <w:rFonts w:hint="eastAsia" w:ascii="宋体" w:hAnsi="宋体" w:eastAsia="宋体" w:cs="宋体"/>
          <w:b w:val="0"/>
          <w:bCs w:val="0"/>
          <w:sz w:val="21"/>
          <w:szCs w:val="21"/>
          <w:lang w:val="en-US" w:eastAsia="zh-CN"/>
        </w:rPr>
        <w:t>18</w:t>
      </w:r>
      <w:r>
        <w:rPr>
          <w:rFonts w:hint="eastAsia" w:ascii="宋体" w:hAnsi="宋体" w:eastAsia="宋体" w:cs="宋体"/>
          <w:b w:val="0"/>
          <w:bCs w:val="0"/>
          <w:sz w:val="21"/>
          <w:szCs w:val="21"/>
        </w:rPr>
        <w:t>日</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完成</w:t>
      </w:r>
      <w:r>
        <w:rPr>
          <w:rFonts w:hint="eastAsia" w:ascii="宋体" w:hAnsi="宋体" w:cs="宋体"/>
          <w:b w:val="0"/>
          <w:bCs w:val="0"/>
          <w:sz w:val="21"/>
          <w:szCs w:val="21"/>
          <w:lang w:eastAsia="zh-CN"/>
        </w:rPr>
        <w:t>三</w:t>
      </w:r>
      <w:r>
        <w:rPr>
          <w:rFonts w:hint="eastAsia" w:ascii="宋体" w:hAnsi="宋体" w:eastAsia="宋体" w:cs="宋体"/>
          <w:b w:val="0"/>
          <w:bCs w:val="0"/>
          <w:sz w:val="21"/>
          <w:szCs w:val="21"/>
          <w:lang w:eastAsia="zh-CN"/>
        </w:rPr>
        <w:t>组</w:t>
      </w:r>
      <w:r>
        <w:rPr>
          <w:rFonts w:hint="eastAsia" w:ascii="宋体" w:hAnsi="宋体" w:eastAsia="宋体" w:cs="宋体"/>
          <w:b w:val="0"/>
          <w:bCs w:val="0"/>
          <w:spacing w:val="0"/>
          <w:kern w:val="0"/>
          <w:sz w:val="21"/>
          <w:szCs w:val="21"/>
          <w:lang w:val="en-US" w:eastAsia="zh-CN"/>
        </w:rPr>
        <w:t>光影作品</w:t>
      </w:r>
      <w:r>
        <w:rPr>
          <w:rFonts w:hint="eastAsia" w:ascii="宋体" w:hAnsi="宋体" w:eastAsia="宋体" w:cs="宋体"/>
          <w:b w:val="0"/>
          <w:bCs w:val="0"/>
          <w:sz w:val="21"/>
          <w:szCs w:val="21"/>
          <w:lang w:eastAsia="zh-CN"/>
        </w:rPr>
        <w:t>的布置工作，并</w:t>
      </w:r>
      <w:r>
        <w:rPr>
          <w:rFonts w:hint="eastAsia" w:ascii="宋体" w:hAnsi="宋体" w:eastAsia="宋体" w:cs="宋体"/>
          <w:b w:val="0"/>
          <w:bCs w:val="0"/>
          <w:sz w:val="21"/>
          <w:szCs w:val="21"/>
        </w:rPr>
        <w:t>调试</w:t>
      </w:r>
      <w:r>
        <w:rPr>
          <w:rFonts w:hint="eastAsia" w:ascii="宋体" w:hAnsi="宋体" w:eastAsia="宋体" w:cs="宋体"/>
          <w:b w:val="0"/>
          <w:bCs w:val="0"/>
          <w:sz w:val="21"/>
          <w:szCs w:val="21"/>
          <w:lang w:eastAsia="zh-CN"/>
        </w:rPr>
        <w:t>至最佳效果</w:t>
      </w:r>
      <w:r>
        <w:rPr>
          <w:rFonts w:hint="eastAsia" w:ascii="宋体" w:hAnsi="宋体" w:eastAsia="宋体" w:cs="宋体"/>
          <w:b w:val="0"/>
          <w:bCs w:val="0"/>
          <w:sz w:val="21"/>
          <w:szCs w:val="21"/>
        </w:rPr>
        <w:t>。</w:t>
      </w:r>
    </w:p>
    <w:p w14:paraId="4E6A8166">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w:t>
      </w:r>
      <w:r>
        <w:rPr>
          <w:rFonts w:hint="eastAsia" w:ascii="宋体" w:hAnsi="宋体" w:cs="宋体"/>
          <w:b w:val="0"/>
          <w:bCs w:val="0"/>
          <w:sz w:val="21"/>
          <w:szCs w:val="21"/>
          <w:lang w:val="en-US" w:eastAsia="zh-CN"/>
        </w:rPr>
        <w:t>3</w:t>
      </w:r>
      <w:r>
        <w:rPr>
          <w:rFonts w:hint="eastAsia" w:ascii="宋体" w:hAnsi="宋体" w:eastAsia="宋体" w:cs="宋体"/>
          <w:b w:val="0"/>
          <w:bCs w:val="0"/>
          <w:sz w:val="21"/>
          <w:szCs w:val="21"/>
        </w:rPr>
        <w:t>）202</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年12月</w:t>
      </w:r>
      <w:r>
        <w:rPr>
          <w:rFonts w:hint="eastAsia" w:ascii="宋体" w:hAnsi="宋体" w:eastAsia="宋体" w:cs="宋体"/>
          <w:b w:val="0"/>
          <w:bCs w:val="0"/>
          <w:sz w:val="21"/>
          <w:szCs w:val="21"/>
          <w:lang w:val="en-US" w:eastAsia="zh-CN"/>
        </w:rPr>
        <w:t>19</w:t>
      </w:r>
      <w:r>
        <w:rPr>
          <w:rFonts w:hint="eastAsia" w:ascii="宋体" w:hAnsi="宋体" w:eastAsia="宋体" w:cs="宋体"/>
          <w:b w:val="0"/>
          <w:bCs w:val="0"/>
          <w:sz w:val="21"/>
          <w:szCs w:val="21"/>
        </w:rPr>
        <w:t>日</w:t>
      </w:r>
      <w:r>
        <w:rPr>
          <w:rFonts w:hint="eastAsia" w:ascii="宋体" w:hAnsi="宋体" w:eastAsia="宋体" w:cs="宋体"/>
          <w:b w:val="0"/>
          <w:bCs w:val="0"/>
          <w:sz w:val="21"/>
          <w:szCs w:val="21"/>
          <w:lang w:eastAsia="zh-CN"/>
        </w:rPr>
        <w:t>，组织完成光的捉迷藏活动</w:t>
      </w:r>
      <w:r>
        <w:rPr>
          <w:rFonts w:hint="eastAsia" w:ascii="宋体" w:hAnsi="宋体" w:cs="宋体"/>
          <w:b w:val="0"/>
          <w:bCs w:val="0"/>
          <w:sz w:val="21"/>
          <w:szCs w:val="21"/>
          <w:lang w:eastAsia="zh-CN"/>
        </w:rPr>
        <w:t>（</w:t>
      </w:r>
      <w:r>
        <w:rPr>
          <w:rFonts w:hint="eastAsia" w:ascii="宋体" w:hAnsi="宋体" w:cs="宋体"/>
          <w:b w:val="0"/>
          <w:bCs w:val="0"/>
          <w:sz w:val="21"/>
          <w:szCs w:val="21"/>
          <w:lang w:val="en-US" w:eastAsia="zh-CN"/>
        </w:rPr>
        <w:t>实际演出时间最终以采购方确为准</w:t>
      </w:r>
      <w:r>
        <w:rPr>
          <w:rFonts w:hint="eastAsia" w:ascii="宋体" w:hAnsi="宋体" w:cs="宋体"/>
          <w:b w:val="0"/>
          <w:bCs w:val="0"/>
          <w:sz w:val="21"/>
          <w:szCs w:val="21"/>
          <w:lang w:eastAsia="zh-CN"/>
        </w:rPr>
        <w:t>）</w:t>
      </w:r>
      <w:r>
        <w:rPr>
          <w:rFonts w:hint="eastAsia" w:ascii="宋体" w:hAnsi="宋体" w:eastAsia="宋体" w:cs="宋体"/>
          <w:b w:val="0"/>
          <w:bCs w:val="0"/>
          <w:sz w:val="21"/>
          <w:szCs w:val="21"/>
        </w:rPr>
        <w:t>。</w:t>
      </w:r>
    </w:p>
    <w:p w14:paraId="21DBE2E6">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w:t>
      </w:r>
      <w:r>
        <w:rPr>
          <w:rFonts w:hint="eastAsia" w:ascii="宋体" w:hAnsi="宋体" w:cs="宋体"/>
          <w:b w:val="0"/>
          <w:bCs w:val="0"/>
          <w:sz w:val="21"/>
          <w:szCs w:val="21"/>
          <w:lang w:val="en-US" w:eastAsia="zh-CN"/>
        </w:rPr>
        <w:t>4</w:t>
      </w:r>
      <w:r>
        <w:rPr>
          <w:rFonts w:hint="eastAsia" w:ascii="宋体" w:hAnsi="宋体" w:eastAsia="宋体" w:cs="宋体"/>
          <w:b w:val="0"/>
          <w:bCs w:val="0"/>
          <w:sz w:val="21"/>
          <w:szCs w:val="21"/>
        </w:rPr>
        <w:t>）202</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年12月</w:t>
      </w:r>
      <w:r>
        <w:rPr>
          <w:rFonts w:hint="eastAsia" w:ascii="宋体" w:hAnsi="宋体" w:eastAsia="宋体" w:cs="宋体"/>
          <w:b w:val="0"/>
          <w:bCs w:val="0"/>
          <w:sz w:val="21"/>
          <w:szCs w:val="21"/>
          <w:lang w:val="en-US" w:eastAsia="zh-CN"/>
        </w:rPr>
        <w:t>19</w:t>
      </w:r>
      <w:r>
        <w:rPr>
          <w:rFonts w:hint="eastAsia" w:ascii="宋体" w:hAnsi="宋体" w:eastAsia="宋体" w:cs="宋体"/>
          <w:b w:val="0"/>
          <w:bCs w:val="0"/>
          <w:sz w:val="21"/>
          <w:szCs w:val="21"/>
        </w:rPr>
        <w:t>日至202</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年2月</w:t>
      </w: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rPr>
        <w:t>日</w:t>
      </w:r>
      <w:r>
        <w:rPr>
          <w:rFonts w:hint="eastAsia" w:ascii="宋体" w:hAnsi="宋体" w:eastAsia="宋体" w:cs="宋体"/>
          <w:b w:val="0"/>
          <w:bCs w:val="0"/>
          <w:sz w:val="21"/>
          <w:szCs w:val="21"/>
          <w:lang w:eastAsia="zh-CN"/>
        </w:rPr>
        <w:t>，做好</w:t>
      </w:r>
      <w:r>
        <w:rPr>
          <w:rFonts w:hint="eastAsia" w:ascii="宋体" w:hAnsi="宋体" w:cs="宋体"/>
          <w:b w:val="0"/>
          <w:bCs w:val="0"/>
          <w:sz w:val="21"/>
          <w:szCs w:val="21"/>
          <w:lang w:eastAsia="zh-CN"/>
        </w:rPr>
        <w:t>三</w:t>
      </w:r>
      <w:r>
        <w:rPr>
          <w:rFonts w:hint="eastAsia" w:ascii="宋体" w:hAnsi="宋体" w:eastAsia="宋体" w:cs="宋体"/>
          <w:b w:val="0"/>
          <w:bCs w:val="0"/>
          <w:sz w:val="21"/>
          <w:szCs w:val="21"/>
          <w:lang w:eastAsia="zh-CN"/>
        </w:rPr>
        <w:t>组</w:t>
      </w:r>
      <w:r>
        <w:rPr>
          <w:rFonts w:hint="eastAsia" w:ascii="宋体" w:hAnsi="宋体" w:eastAsia="宋体" w:cs="宋体"/>
          <w:b w:val="0"/>
          <w:bCs w:val="0"/>
          <w:spacing w:val="0"/>
          <w:kern w:val="0"/>
          <w:sz w:val="21"/>
          <w:szCs w:val="21"/>
          <w:lang w:val="en-US" w:eastAsia="zh-CN"/>
        </w:rPr>
        <w:t>光影作品</w:t>
      </w:r>
      <w:r>
        <w:rPr>
          <w:rFonts w:hint="eastAsia" w:ascii="宋体" w:hAnsi="宋体" w:eastAsia="宋体" w:cs="宋体"/>
          <w:b w:val="0"/>
          <w:bCs w:val="0"/>
          <w:sz w:val="21"/>
          <w:szCs w:val="21"/>
          <w:lang w:eastAsia="zh-CN"/>
        </w:rPr>
        <w:t>的维护工作</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保证每晚正常亮灯。</w:t>
      </w:r>
    </w:p>
    <w:p w14:paraId="03D2A081">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w:t>
      </w:r>
      <w:r>
        <w:rPr>
          <w:rFonts w:hint="eastAsia" w:ascii="宋体" w:hAnsi="宋体" w:cs="宋体"/>
          <w:b w:val="0"/>
          <w:bCs w:val="0"/>
          <w:sz w:val="21"/>
          <w:szCs w:val="21"/>
          <w:lang w:val="en-US" w:eastAsia="zh-CN"/>
        </w:rPr>
        <w:t>5</w:t>
      </w:r>
      <w:r>
        <w:rPr>
          <w:rFonts w:hint="eastAsia" w:ascii="宋体" w:hAnsi="宋体" w:eastAsia="宋体" w:cs="宋体"/>
          <w:b w:val="0"/>
          <w:bCs w:val="0"/>
          <w:sz w:val="21"/>
          <w:szCs w:val="21"/>
        </w:rPr>
        <w:t>）202</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年2月</w:t>
      </w: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rPr>
        <w:t>日至202</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rPr>
        <w:t>年</w:t>
      </w: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rPr>
        <w:t>月</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日</w:t>
      </w:r>
      <w:r>
        <w:rPr>
          <w:rFonts w:hint="eastAsia" w:ascii="宋体" w:hAnsi="宋体" w:eastAsia="宋体" w:cs="宋体"/>
          <w:b w:val="0"/>
          <w:bCs w:val="0"/>
          <w:sz w:val="21"/>
          <w:szCs w:val="21"/>
          <w:lang w:eastAsia="zh-CN"/>
        </w:rPr>
        <w:t>，完成</w:t>
      </w:r>
      <w:r>
        <w:rPr>
          <w:rFonts w:hint="eastAsia" w:ascii="宋体" w:hAnsi="宋体" w:cs="宋体"/>
          <w:b w:val="0"/>
          <w:bCs w:val="0"/>
          <w:sz w:val="21"/>
          <w:szCs w:val="21"/>
          <w:lang w:eastAsia="zh-CN"/>
        </w:rPr>
        <w:t>三</w:t>
      </w:r>
      <w:r>
        <w:rPr>
          <w:rFonts w:hint="eastAsia" w:ascii="宋体" w:hAnsi="宋体" w:eastAsia="宋体" w:cs="宋体"/>
          <w:b w:val="0"/>
          <w:bCs w:val="0"/>
          <w:sz w:val="21"/>
          <w:szCs w:val="21"/>
          <w:lang w:eastAsia="zh-CN"/>
        </w:rPr>
        <w:t>组</w:t>
      </w:r>
      <w:r>
        <w:rPr>
          <w:rFonts w:hint="eastAsia" w:ascii="宋体" w:hAnsi="宋体" w:eastAsia="宋体" w:cs="宋体"/>
          <w:b w:val="0"/>
          <w:bCs w:val="0"/>
          <w:spacing w:val="0"/>
          <w:kern w:val="0"/>
          <w:sz w:val="21"/>
          <w:szCs w:val="21"/>
          <w:lang w:val="en-US" w:eastAsia="zh-CN"/>
        </w:rPr>
        <w:t>光影作品</w:t>
      </w:r>
      <w:r>
        <w:rPr>
          <w:rFonts w:hint="eastAsia" w:ascii="宋体" w:hAnsi="宋体" w:eastAsia="宋体" w:cs="宋体"/>
          <w:b w:val="0"/>
          <w:bCs w:val="0"/>
          <w:sz w:val="21"/>
          <w:szCs w:val="21"/>
          <w:lang w:eastAsia="zh-CN"/>
        </w:rPr>
        <w:t>撤场</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恢复场地原状。</w:t>
      </w:r>
    </w:p>
    <w:p w14:paraId="3AF85CFD">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以上具体时间节点，如因政府政策、不可抗力等额外因素影响，由</w:t>
      </w:r>
      <w:r>
        <w:rPr>
          <w:rFonts w:hint="eastAsia" w:ascii="宋体" w:hAnsi="宋体" w:eastAsia="宋体" w:cs="宋体"/>
          <w:b w:val="0"/>
          <w:bCs w:val="0"/>
          <w:kern w:val="0"/>
          <w:sz w:val="21"/>
          <w:szCs w:val="21"/>
          <w:lang w:eastAsia="zh-CN"/>
        </w:rPr>
        <w:t>采购单位</w:t>
      </w:r>
      <w:r>
        <w:rPr>
          <w:rFonts w:hint="eastAsia" w:ascii="宋体" w:hAnsi="宋体" w:eastAsia="宋体" w:cs="宋体"/>
          <w:b w:val="0"/>
          <w:bCs w:val="0"/>
          <w:kern w:val="0"/>
          <w:sz w:val="21"/>
          <w:szCs w:val="21"/>
        </w:rPr>
        <w:t>照实际情况作对应调整</w:t>
      </w:r>
      <w:r>
        <w:rPr>
          <w:rFonts w:hint="eastAsia" w:ascii="宋体" w:hAnsi="宋体" w:eastAsia="宋体" w:cs="宋体"/>
          <w:b w:val="0"/>
          <w:bCs w:val="0"/>
          <w:kern w:val="0"/>
          <w:sz w:val="21"/>
          <w:szCs w:val="21"/>
          <w:lang w:eastAsia="zh-CN"/>
        </w:rPr>
        <w:t>，中标单位需配合完成</w:t>
      </w:r>
      <w:r>
        <w:rPr>
          <w:rFonts w:hint="eastAsia" w:ascii="宋体" w:hAnsi="宋体" w:eastAsia="宋体" w:cs="宋体"/>
          <w:b w:val="0"/>
          <w:bCs w:val="0"/>
          <w:kern w:val="0"/>
          <w:sz w:val="21"/>
          <w:szCs w:val="21"/>
        </w:rPr>
        <w:t>。</w:t>
      </w:r>
    </w:p>
    <w:p w14:paraId="57B2B299">
      <w:pPr>
        <w:keepNext w:val="0"/>
        <w:keepLines w:val="0"/>
        <w:pageBreakBefore w:val="0"/>
        <w:widowControl w:val="0"/>
        <w:kinsoku/>
        <w:wordWrap/>
        <w:overflowPunct/>
        <w:topLinePunct w:val="0"/>
        <w:autoSpaceDE/>
        <w:autoSpaceDN/>
        <w:bidi w:val="0"/>
        <w:snapToGrid w:val="0"/>
        <w:spacing w:line="360" w:lineRule="auto"/>
        <w:ind w:left="0" w:firstLine="420" w:firstLineChars="200"/>
        <w:jc w:val="left"/>
        <w:rPr>
          <w:rFonts w:hint="eastAsia" w:ascii="宋体" w:hAnsi="宋体" w:eastAsia="宋体" w:cs="宋体"/>
          <w:b w:val="0"/>
          <w:bCs w:val="0"/>
          <w:color w:val="000000"/>
          <w:sz w:val="21"/>
          <w:szCs w:val="21"/>
        </w:rPr>
      </w:pPr>
      <w:r>
        <w:rPr>
          <w:rFonts w:hint="eastAsia" w:ascii="宋体" w:hAnsi="宋体" w:eastAsia="宋体" w:cs="宋体"/>
          <w:b w:val="0"/>
          <w:bCs w:val="0"/>
          <w:sz w:val="21"/>
          <w:szCs w:val="21"/>
          <w:lang w:val="en-US" w:eastAsia="zh-CN"/>
        </w:rPr>
        <w:t>2.光影作品</w:t>
      </w:r>
      <w:r>
        <w:rPr>
          <w:rFonts w:hint="eastAsia" w:ascii="宋体" w:hAnsi="宋体" w:eastAsia="宋体" w:cs="宋体"/>
          <w:b w:val="0"/>
          <w:bCs w:val="0"/>
          <w:sz w:val="21"/>
          <w:szCs w:val="21"/>
        </w:rPr>
        <w:t>质量要求</w:t>
      </w:r>
    </w:p>
    <w:p w14:paraId="7EEE966D">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前期</w:t>
      </w:r>
      <w:r>
        <w:rPr>
          <w:rFonts w:hint="eastAsia" w:ascii="宋体" w:hAnsi="宋体" w:eastAsia="宋体" w:cs="宋体"/>
          <w:b w:val="0"/>
          <w:bCs w:val="0"/>
          <w:sz w:val="21"/>
          <w:szCs w:val="21"/>
          <w:lang w:val="zh-TW"/>
        </w:rPr>
        <w:t>需要进行实地调研、顾问专家咨询、信息采集与分析，准确地对</w:t>
      </w:r>
      <w:r>
        <w:rPr>
          <w:rFonts w:hint="eastAsia" w:ascii="宋体" w:hAnsi="宋体" w:eastAsia="宋体" w:cs="宋体"/>
          <w:b w:val="0"/>
          <w:bCs w:val="0"/>
          <w:sz w:val="21"/>
          <w:szCs w:val="21"/>
          <w:lang w:eastAsia="zh-CN"/>
        </w:rPr>
        <w:t>光影作品</w:t>
      </w:r>
      <w:r>
        <w:rPr>
          <w:rFonts w:hint="eastAsia" w:ascii="宋体" w:hAnsi="宋体" w:eastAsia="宋体" w:cs="宋体"/>
          <w:b w:val="0"/>
          <w:bCs w:val="0"/>
          <w:sz w:val="21"/>
          <w:szCs w:val="21"/>
          <w:lang w:val="zh-TW"/>
        </w:rPr>
        <w:t>的精神内涵、特色</w:t>
      </w:r>
      <w:r>
        <w:rPr>
          <w:rFonts w:hint="eastAsia" w:ascii="宋体" w:hAnsi="宋体" w:eastAsia="宋体" w:cs="宋体"/>
          <w:b w:val="0"/>
          <w:bCs w:val="0"/>
          <w:sz w:val="21"/>
          <w:szCs w:val="21"/>
          <w:lang w:val="zh-TW" w:eastAsia="zh-CN"/>
        </w:rPr>
        <w:t>特点</w:t>
      </w:r>
      <w:r>
        <w:rPr>
          <w:rFonts w:hint="eastAsia" w:ascii="宋体" w:hAnsi="宋体" w:eastAsia="宋体" w:cs="宋体"/>
          <w:b w:val="0"/>
          <w:bCs w:val="0"/>
          <w:sz w:val="21"/>
          <w:szCs w:val="21"/>
          <w:lang w:val="zh-TW"/>
        </w:rPr>
        <w:t>进行提炼与把握</w:t>
      </w:r>
      <w:r>
        <w:rPr>
          <w:rFonts w:hint="eastAsia" w:ascii="宋体" w:hAnsi="宋体" w:eastAsia="宋体" w:cs="宋体"/>
          <w:b w:val="0"/>
          <w:bCs w:val="0"/>
          <w:sz w:val="21"/>
          <w:szCs w:val="21"/>
          <w:lang w:val="zh-TW" w:eastAsia="zh-CN"/>
        </w:rPr>
        <w:t>。</w:t>
      </w:r>
    </w:p>
    <w:p w14:paraId="6EA206E7">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）作品</w:t>
      </w:r>
      <w:r>
        <w:rPr>
          <w:rFonts w:hint="eastAsia" w:ascii="宋体" w:hAnsi="宋体" w:eastAsia="宋体" w:cs="宋体"/>
          <w:b w:val="0"/>
          <w:bCs w:val="0"/>
          <w:sz w:val="21"/>
          <w:szCs w:val="21"/>
        </w:rPr>
        <w:t>制作期间需要</w:t>
      </w:r>
      <w:r>
        <w:rPr>
          <w:rFonts w:hint="eastAsia" w:ascii="宋体" w:hAnsi="宋体" w:eastAsia="宋体" w:cs="宋体"/>
          <w:b w:val="0"/>
          <w:bCs w:val="0"/>
          <w:sz w:val="21"/>
          <w:szCs w:val="21"/>
          <w:lang w:val="zh-TW"/>
        </w:rPr>
        <w:t>严格</w:t>
      </w:r>
      <w:r>
        <w:rPr>
          <w:rFonts w:hint="eastAsia" w:ascii="宋体" w:hAnsi="宋体" w:eastAsia="宋体" w:cs="宋体"/>
          <w:b w:val="0"/>
          <w:bCs w:val="0"/>
          <w:sz w:val="21"/>
          <w:szCs w:val="21"/>
        </w:rPr>
        <w:t>落实</w:t>
      </w:r>
      <w:r>
        <w:rPr>
          <w:rFonts w:hint="eastAsia" w:ascii="宋体" w:hAnsi="宋体" w:eastAsia="宋体" w:cs="宋体"/>
          <w:b w:val="0"/>
          <w:bCs w:val="0"/>
          <w:sz w:val="21"/>
          <w:szCs w:val="21"/>
          <w:lang w:eastAsia="zh-CN"/>
        </w:rPr>
        <w:t>作品</w:t>
      </w:r>
      <w:r>
        <w:rPr>
          <w:rFonts w:hint="eastAsia" w:ascii="宋体" w:hAnsi="宋体" w:eastAsia="宋体" w:cs="宋体"/>
          <w:b w:val="0"/>
          <w:bCs w:val="0"/>
          <w:sz w:val="21"/>
          <w:szCs w:val="21"/>
        </w:rPr>
        <w:t>方案内容</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认真把控制作品质，跟进工厂生产质量，把握好材料选择，调试好亮灯效果，确保</w:t>
      </w:r>
      <w:r>
        <w:rPr>
          <w:rFonts w:hint="eastAsia" w:ascii="宋体" w:hAnsi="宋体" w:eastAsia="宋体" w:cs="宋体"/>
          <w:b w:val="0"/>
          <w:bCs w:val="0"/>
          <w:sz w:val="21"/>
          <w:szCs w:val="21"/>
          <w:lang w:eastAsia="zh-CN"/>
        </w:rPr>
        <w:t>作品</w:t>
      </w:r>
      <w:r>
        <w:rPr>
          <w:rFonts w:hint="eastAsia" w:ascii="宋体" w:hAnsi="宋体" w:eastAsia="宋体" w:cs="宋体"/>
          <w:b w:val="0"/>
          <w:bCs w:val="0"/>
          <w:sz w:val="21"/>
          <w:szCs w:val="21"/>
        </w:rPr>
        <w:t>符合质量过关、结构安全、品质保障等要求。</w:t>
      </w:r>
    </w:p>
    <w:p w14:paraId="0871D0AE">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lang w:eastAsia="zh-CN"/>
        </w:rPr>
        <w:t>）作品所用材料的规格、技术参数、质量等必须符合相关国家规定及要求，若使用不合规产品，采购单位有权要求中标单位按照采购单位意见替换相关材料，中标单位需配合完成。</w:t>
      </w:r>
    </w:p>
    <w:p w14:paraId="03208E61">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lang w:eastAsia="zh-CN"/>
        </w:rPr>
        <w:t>）作品实物布置</w:t>
      </w:r>
      <w:r>
        <w:rPr>
          <w:rFonts w:hint="eastAsia" w:ascii="宋体" w:hAnsi="宋体" w:eastAsia="宋体" w:cs="宋体"/>
          <w:b w:val="0"/>
          <w:bCs w:val="0"/>
          <w:sz w:val="21"/>
          <w:szCs w:val="21"/>
        </w:rPr>
        <w:t>效果应符合创作者的要求，达到</w:t>
      </w:r>
      <w:r>
        <w:rPr>
          <w:rFonts w:hint="eastAsia" w:ascii="宋体" w:hAnsi="宋体" w:eastAsia="宋体" w:cs="宋体"/>
          <w:b w:val="0"/>
          <w:bCs w:val="0"/>
          <w:sz w:val="21"/>
          <w:szCs w:val="21"/>
          <w:lang w:eastAsia="zh-CN"/>
        </w:rPr>
        <w:t>最佳亮灯</w:t>
      </w:r>
      <w:r>
        <w:rPr>
          <w:rFonts w:hint="eastAsia" w:ascii="宋体" w:hAnsi="宋体" w:eastAsia="宋体" w:cs="宋体"/>
          <w:b w:val="0"/>
          <w:bCs w:val="0"/>
          <w:sz w:val="21"/>
          <w:szCs w:val="21"/>
        </w:rPr>
        <w:t>效果，若有故障、损坏、盗窃等情况，应及时修复，保证正常</w:t>
      </w:r>
      <w:r>
        <w:rPr>
          <w:rFonts w:hint="eastAsia" w:ascii="宋体" w:hAnsi="宋体" w:eastAsia="宋体" w:cs="宋体"/>
          <w:b w:val="0"/>
          <w:bCs w:val="0"/>
          <w:sz w:val="21"/>
          <w:szCs w:val="21"/>
          <w:lang w:eastAsia="zh-CN"/>
        </w:rPr>
        <w:t>亮灯</w:t>
      </w:r>
      <w:r>
        <w:rPr>
          <w:rFonts w:hint="eastAsia" w:ascii="宋体" w:hAnsi="宋体" w:eastAsia="宋体" w:cs="宋体"/>
          <w:b w:val="0"/>
          <w:bCs w:val="0"/>
          <w:sz w:val="21"/>
          <w:szCs w:val="21"/>
        </w:rPr>
        <w:t>。</w:t>
      </w:r>
    </w:p>
    <w:p w14:paraId="585C1083">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3.光影作品维护要求</w:t>
      </w:r>
    </w:p>
    <w:p w14:paraId="45B52EB2">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（1）中标单位需聘请相关人员对光影作品进行检修及巡查，定制巡检计划，按时对作品进行保养和巡检</w:t>
      </w:r>
      <w:r>
        <w:rPr>
          <w:rFonts w:hint="eastAsia" w:ascii="宋体" w:hAnsi="宋体" w:eastAsia="宋体" w:cs="宋体"/>
          <w:b w:val="0"/>
          <w:bCs w:val="0"/>
          <w:sz w:val="21"/>
          <w:szCs w:val="21"/>
        </w:rPr>
        <w:t>，确保</w:t>
      </w:r>
      <w:r>
        <w:rPr>
          <w:rFonts w:hint="eastAsia" w:ascii="宋体" w:hAnsi="宋体" w:eastAsia="宋体" w:cs="宋体"/>
          <w:b w:val="0"/>
          <w:bCs w:val="0"/>
          <w:sz w:val="21"/>
          <w:szCs w:val="21"/>
          <w:lang w:eastAsia="zh-CN"/>
        </w:rPr>
        <w:t>光影作品</w:t>
      </w:r>
      <w:r>
        <w:rPr>
          <w:rFonts w:hint="eastAsia" w:ascii="宋体" w:hAnsi="宋体" w:eastAsia="宋体" w:cs="宋体"/>
          <w:b w:val="0"/>
          <w:bCs w:val="0"/>
          <w:sz w:val="21"/>
          <w:szCs w:val="21"/>
        </w:rPr>
        <w:t>的</w:t>
      </w:r>
      <w:r>
        <w:rPr>
          <w:rFonts w:hint="eastAsia" w:ascii="宋体" w:hAnsi="宋体" w:eastAsia="宋体" w:cs="宋体"/>
          <w:b w:val="0"/>
          <w:bCs w:val="0"/>
          <w:sz w:val="21"/>
          <w:szCs w:val="21"/>
          <w:lang w:eastAsia="zh-CN"/>
        </w:rPr>
        <w:t>亮灯</w:t>
      </w:r>
      <w:r>
        <w:rPr>
          <w:rFonts w:hint="eastAsia" w:ascii="宋体" w:hAnsi="宋体" w:eastAsia="宋体" w:cs="宋体"/>
          <w:b w:val="0"/>
          <w:bCs w:val="0"/>
          <w:sz w:val="21"/>
          <w:szCs w:val="21"/>
        </w:rPr>
        <w:t>效果</w:t>
      </w:r>
      <w:r>
        <w:rPr>
          <w:rFonts w:hint="eastAsia" w:ascii="宋体" w:hAnsi="宋体" w:eastAsia="宋体" w:cs="宋体"/>
          <w:b w:val="0"/>
          <w:bCs w:val="0"/>
          <w:sz w:val="21"/>
          <w:szCs w:val="21"/>
          <w:lang w:eastAsia="zh-CN"/>
        </w:rPr>
        <w:t>。</w:t>
      </w:r>
    </w:p>
    <w:p w14:paraId="53FAD93F">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）每天需对光影作品的结构、灯具、管线、配电箱等进行安全检查，确保作品结构稳定、灯具正常亮灯、管线敷设整齐无脱落裸露悬挂、配电箱运行正常。</w:t>
      </w:r>
    </w:p>
    <w:p w14:paraId="100F4CA7">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lang w:eastAsia="zh-CN"/>
        </w:rPr>
        <w:t>）每周至少</w:t>
      </w:r>
      <w:r>
        <w:rPr>
          <w:rFonts w:hint="eastAsia" w:ascii="宋体" w:hAnsi="宋体" w:eastAsia="宋体" w:cs="宋体"/>
          <w:b w:val="0"/>
          <w:bCs w:val="0"/>
          <w:sz w:val="21"/>
          <w:szCs w:val="21"/>
          <w:lang w:val="en-US" w:eastAsia="zh-CN"/>
        </w:rPr>
        <w:t>1次防漏电安全</w:t>
      </w:r>
      <w:r>
        <w:rPr>
          <w:rFonts w:hint="eastAsia" w:ascii="宋体" w:hAnsi="宋体" w:eastAsia="宋体" w:cs="宋体"/>
          <w:b w:val="0"/>
          <w:bCs w:val="0"/>
          <w:sz w:val="21"/>
          <w:szCs w:val="21"/>
          <w:lang w:eastAsia="zh-CN"/>
        </w:rPr>
        <w:t>检测</w:t>
      </w:r>
      <w:r>
        <w:rPr>
          <w:rFonts w:hint="eastAsia" w:ascii="宋体" w:hAnsi="宋体" w:eastAsia="宋体" w:cs="宋体"/>
          <w:b w:val="0"/>
          <w:bCs w:val="0"/>
          <w:sz w:val="21"/>
          <w:szCs w:val="21"/>
          <w:lang w:val="en-US" w:eastAsia="zh-CN"/>
        </w:rPr>
        <w:t>，试验配电箱漏保开关，确保符合国家相关规范要求。</w:t>
      </w:r>
    </w:p>
    <w:p w14:paraId="7DCAA15E">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（4）每天安排人员维护现场秩序，保护光影作品不被侵占和破坏，对实施破坏的现象及时制止。</w:t>
      </w:r>
    </w:p>
    <w:p w14:paraId="44C8EB5C">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（5）每周至少安排2次对作品的清洁工作，确保光影作品无脏污等情况。</w:t>
      </w:r>
    </w:p>
    <w:p w14:paraId="5399C844">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（6）中标单位需按照采购单位要求时间</w:t>
      </w:r>
      <w:r>
        <w:rPr>
          <w:rFonts w:hint="eastAsia" w:ascii="宋体" w:hAnsi="宋体" w:eastAsia="宋体" w:cs="宋体"/>
          <w:b w:val="0"/>
          <w:bCs w:val="0"/>
          <w:sz w:val="21"/>
          <w:szCs w:val="21"/>
        </w:rPr>
        <w:t>保证</w:t>
      </w:r>
      <w:r>
        <w:rPr>
          <w:rFonts w:hint="eastAsia" w:ascii="宋体" w:hAnsi="宋体" w:eastAsia="宋体" w:cs="宋体"/>
          <w:b w:val="0"/>
          <w:bCs w:val="0"/>
          <w:sz w:val="21"/>
          <w:szCs w:val="21"/>
          <w:lang w:eastAsia="zh-CN"/>
        </w:rPr>
        <w:t>光影作品</w:t>
      </w:r>
      <w:r>
        <w:rPr>
          <w:rFonts w:hint="eastAsia" w:ascii="宋体" w:hAnsi="宋体" w:eastAsia="宋体" w:cs="宋体"/>
          <w:b w:val="0"/>
          <w:bCs w:val="0"/>
          <w:sz w:val="21"/>
          <w:szCs w:val="21"/>
        </w:rPr>
        <w:t>每晚18:00-22:00正常亮灯运行，</w:t>
      </w:r>
      <w:r>
        <w:rPr>
          <w:rFonts w:hint="eastAsia" w:ascii="宋体" w:hAnsi="宋体" w:eastAsia="宋体" w:cs="宋体"/>
          <w:b w:val="0"/>
          <w:bCs w:val="0"/>
          <w:sz w:val="21"/>
          <w:szCs w:val="21"/>
          <w:lang w:eastAsia="zh-CN"/>
        </w:rPr>
        <w:t>采购单位</w:t>
      </w:r>
      <w:r>
        <w:rPr>
          <w:rFonts w:hint="eastAsia" w:ascii="宋体" w:hAnsi="宋体" w:eastAsia="宋体" w:cs="宋体"/>
          <w:b w:val="0"/>
          <w:bCs w:val="0"/>
          <w:sz w:val="21"/>
          <w:szCs w:val="21"/>
        </w:rPr>
        <w:t>有权根据相关政策要求，调整</w:t>
      </w:r>
      <w:r>
        <w:rPr>
          <w:rFonts w:hint="eastAsia" w:ascii="宋体" w:hAnsi="宋体" w:eastAsia="宋体" w:cs="宋体"/>
          <w:b w:val="0"/>
          <w:bCs w:val="0"/>
          <w:sz w:val="21"/>
          <w:szCs w:val="21"/>
          <w:lang w:eastAsia="zh-CN"/>
        </w:rPr>
        <w:t>作品亮灯</w:t>
      </w:r>
      <w:r>
        <w:rPr>
          <w:rFonts w:hint="eastAsia" w:ascii="宋体" w:hAnsi="宋体" w:eastAsia="宋体" w:cs="宋体"/>
          <w:b w:val="0"/>
          <w:bCs w:val="0"/>
          <w:sz w:val="21"/>
          <w:szCs w:val="21"/>
        </w:rPr>
        <w:t>天数、时间</w:t>
      </w:r>
      <w:r>
        <w:rPr>
          <w:rFonts w:hint="eastAsia" w:ascii="宋体" w:hAnsi="宋体" w:eastAsia="宋体" w:cs="宋体"/>
          <w:b w:val="0"/>
          <w:bCs w:val="0"/>
          <w:sz w:val="21"/>
          <w:szCs w:val="21"/>
          <w:lang w:eastAsia="zh-CN"/>
        </w:rPr>
        <w:t>等</w:t>
      </w:r>
      <w:r>
        <w:rPr>
          <w:rFonts w:hint="eastAsia" w:ascii="宋体" w:hAnsi="宋体" w:eastAsia="宋体" w:cs="宋体"/>
          <w:b w:val="0"/>
          <w:bCs w:val="0"/>
          <w:sz w:val="21"/>
          <w:szCs w:val="21"/>
        </w:rPr>
        <w:t>。</w:t>
      </w:r>
    </w:p>
    <w:p w14:paraId="21158DDF">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（7）中标单位需配合采购单位处理各项舆情处置工作，安排专人值班，及时应急处置各项突发事件。</w:t>
      </w:r>
    </w:p>
    <w:p w14:paraId="3CDACCD8">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（8）本次光影作品布置时间横跨元旦、春节、元宵等节日，中标单位需确保节日期间的人员值守及处置。</w:t>
      </w:r>
    </w:p>
    <w:p w14:paraId="06E41753">
      <w:pPr>
        <w:keepNext w:val="0"/>
        <w:keepLines w:val="0"/>
        <w:pageBreakBefore w:val="0"/>
        <w:widowControl w:val="0"/>
        <w:kinsoku/>
        <w:wordWrap/>
        <w:overflowPunct/>
        <w:topLinePunct w:val="0"/>
        <w:autoSpaceDE/>
        <w:autoSpaceDN/>
        <w:bidi w:val="0"/>
        <w:snapToGrid w:val="0"/>
        <w:spacing w:line="360" w:lineRule="auto"/>
        <w:ind w:left="0" w:firstLine="420" w:firstLineChars="200"/>
        <w:jc w:val="left"/>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rPr>
        <w:t>安全</w:t>
      </w:r>
      <w:r>
        <w:rPr>
          <w:rFonts w:hint="eastAsia" w:ascii="宋体" w:hAnsi="宋体" w:eastAsia="宋体" w:cs="宋体"/>
          <w:b w:val="0"/>
          <w:bCs w:val="0"/>
          <w:sz w:val="21"/>
          <w:szCs w:val="21"/>
          <w:lang w:eastAsia="zh-CN"/>
        </w:rPr>
        <w:t>生产</w:t>
      </w:r>
      <w:r>
        <w:rPr>
          <w:rFonts w:hint="eastAsia" w:ascii="宋体" w:hAnsi="宋体" w:eastAsia="宋体" w:cs="宋体"/>
          <w:b w:val="0"/>
          <w:bCs w:val="0"/>
          <w:sz w:val="21"/>
          <w:szCs w:val="21"/>
        </w:rPr>
        <w:t>要求</w:t>
      </w:r>
    </w:p>
    <w:p w14:paraId="5804B230">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认真贯彻落实国家、省、市关于安全生产的各项规定，严格落实各项安全生产措施，切实保</w:t>
      </w:r>
      <w:r>
        <w:rPr>
          <w:rFonts w:hint="eastAsia" w:ascii="宋体" w:hAnsi="宋体" w:eastAsia="宋体" w:cs="宋体"/>
          <w:b w:val="0"/>
          <w:bCs w:val="0"/>
          <w:color w:val="auto"/>
          <w:sz w:val="21"/>
          <w:szCs w:val="21"/>
        </w:rPr>
        <w:t>障安全生产工作。</w:t>
      </w:r>
      <w:r>
        <w:rPr>
          <w:rFonts w:hint="eastAsia" w:ascii="宋体" w:hAnsi="宋体" w:eastAsia="宋体" w:cs="宋体"/>
          <w:b w:val="0"/>
          <w:bCs w:val="0"/>
          <w:color w:val="auto"/>
          <w:sz w:val="21"/>
          <w:szCs w:val="21"/>
          <w:lang w:val="en-US" w:eastAsia="zh-CN"/>
        </w:rPr>
        <w:t>中标单位须与采购单位签订《安全生产责任书》作为合同附件。</w:t>
      </w:r>
    </w:p>
    <w:p w14:paraId="6CD8D981">
      <w:pPr>
        <w:pStyle w:val="6"/>
        <w:keepNext w:val="0"/>
        <w:keepLines w:val="0"/>
        <w:pageBreakBefore w:val="0"/>
        <w:widowControl w:val="0"/>
        <w:kinsoku/>
        <w:wordWrap/>
        <w:overflowPunct/>
        <w:topLinePunct w:val="0"/>
        <w:autoSpaceDE/>
        <w:autoSpaceDN/>
        <w:bidi w:val="0"/>
        <w:spacing w:line="360" w:lineRule="auto"/>
        <w:ind w:left="0" w:firstLine="420" w:firstLineChars="20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（2）中标单位需对项</w:t>
      </w:r>
      <w:r>
        <w:rPr>
          <w:rFonts w:hint="eastAsia" w:ascii="宋体" w:hAnsi="宋体" w:cs="宋体"/>
          <w:b w:val="0"/>
          <w:bCs w:val="0"/>
          <w:color w:val="auto"/>
          <w:sz w:val="21"/>
          <w:szCs w:val="21"/>
          <w:lang w:val="en-US" w:eastAsia="zh-CN"/>
        </w:rPr>
        <w:t>目全部</w:t>
      </w:r>
      <w:r>
        <w:rPr>
          <w:rFonts w:hint="eastAsia" w:ascii="宋体" w:hAnsi="宋体" w:eastAsia="宋体" w:cs="宋体"/>
          <w:b w:val="0"/>
          <w:bCs w:val="0"/>
          <w:color w:val="auto"/>
          <w:sz w:val="21"/>
          <w:szCs w:val="21"/>
          <w:lang w:val="en-US" w:eastAsia="zh-CN"/>
        </w:rPr>
        <w:t>过程中的所有安全工作负全责，若发生安全事故</w:t>
      </w:r>
      <w:r>
        <w:rPr>
          <w:rFonts w:hint="eastAsia" w:ascii="宋体" w:hAnsi="宋体" w:cs="宋体"/>
          <w:b w:val="0"/>
          <w:bCs w:val="0"/>
          <w:color w:val="auto"/>
          <w:sz w:val="21"/>
          <w:szCs w:val="21"/>
          <w:lang w:val="en-US" w:eastAsia="zh-CN"/>
        </w:rPr>
        <w:t>，招标方不承担任何责任，</w:t>
      </w:r>
      <w:r>
        <w:rPr>
          <w:rFonts w:hint="eastAsia" w:ascii="宋体" w:hAnsi="宋体" w:eastAsia="宋体" w:cs="宋体"/>
          <w:b w:val="0"/>
          <w:bCs w:val="0"/>
          <w:color w:val="auto"/>
          <w:sz w:val="21"/>
          <w:szCs w:val="21"/>
          <w:lang w:val="en-US" w:eastAsia="zh-CN"/>
        </w:rPr>
        <w:t>中标单位承担全部</w:t>
      </w:r>
      <w:r>
        <w:rPr>
          <w:rFonts w:hint="eastAsia" w:ascii="宋体" w:hAnsi="宋体" w:cs="宋体"/>
          <w:b w:val="0"/>
          <w:bCs w:val="0"/>
          <w:color w:val="auto"/>
          <w:sz w:val="21"/>
          <w:szCs w:val="21"/>
          <w:lang w:val="en-US" w:eastAsia="zh-CN"/>
        </w:rPr>
        <w:t>法律和经济责任</w:t>
      </w:r>
      <w:r>
        <w:rPr>
          <w:rFonts w:hint="eastAsia" w:ascii="宋体" w:hAnsi="宋体" w:eastAsia="宋体" w:cs="宋体"/>
          <w:b w:val="0"/>
          <w:bCs w:val="0"/>
          <w:color w:val="auto"/>
          <w:sz w:val="21"/>
          <w:szCs w:val="21"/>
          <w:lang w:val="en-US" w:eastAsia="zh-CN"/>
        </w:rPr>
        <w:t>。</w:t>
      </w:r>
    </w:p>
    <w:p w14:paraId="6B8B9F43">
      <w:pPr>
        <w:spacing w:line="400" w:lineRule="exact"/>
        <w:ind w:firstLine="420" w:firstLineChars="20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（3）施工过程中，</w:t>
      </w:r>
      <w:r>
        <w:rPr>
          <w:rFonts w:hint="eastAsia" w:ascii="宋体" w:hAnsi="宋体" w:cs="宋体"/>
          <w:b w:val="0"/>
          <w:bCs w:val="0"/>
          <w:color w:val="auto"/>
          <w:sz w:val="21"/>
          <w:szCs w:val="21"/>
          <w:lang w:val="en-US" w:eastAsia="zh-CN"/>
        </w:rPr>
        <w:t>施工人员必</w:t>
      </w:r>
      <w:r>
        <w:rPr>
          <w:rFonts w:hint="eastAsia" w:ascii="宋体" w:hAnsi="宋体" w:eastAsia="宋体" w:cs="宋体"/>
          <w:b w:val="0"/>
          <w:bCs w:val="0"/>
          <w:color w:val="auto"/>
          <w:sz w:val="21"/>
          <w:szCs w:val="21"/>
          <w:lang w:val="en-US" w:eastAsia="zh-CN"/>
        </w:rPr>
        <w:t>需配备</w:t>
      </w:r>
      <w:r>
        <w:rPr>
          <w:rFonts w:hint="eastAsia" w:ascii="宋体" w:hAnsi="宋体" w:eastAsia="宋体" w:cs="宋体"/>
          <w:b w:val="0"/>
          <w:bCs w:val="0"/>
          <w:color w:val="auto"/>
          <w:sz w:val="21"/>
          <w:szCs w:val="21"/>
        </w:rPr>
        <w:t>配备安全防护用品，并应在每次使用前对安全防护用品进行检查，安全防护用品应外观良好、部件齐全、功能正常，作业人员应正确使用。</w:t>
      </w:r>
      <w:r>
        <w:rPr>
          <w:rFonts w:hint="eastAsia" w:ascii="宋体" w:hAnsi="宋体" w:eastAsia="宋体" w:cs="宋体"/>
          <w:b w:val="0"/>
          <w:bCs w:val="0"/>
          <w:color w:val="auto"/>
          <w:sz w:val="21"/>
          <w:szCs w:val="21"/>
          <w:lang w:eastAsia="zh-CN"/>
        </w:rPr>
        <w:t>电焊作业、电工作业、高处作业等</w:t>
      </w:r>
      <w:r>
        <w:rPr>
          <w:rFonts w:hint="eastAsia" w:ascii="宋体" w:hAnsi="宋体" w:eastAsia="宋体" w:cs="宋体"/>
          <w:b w:val="0"/>
          <w:bCs w:val="0"/>
          <w:color w:val="auto"/>
          <w:sz w:val="21"/>
          <w:szCs w:val="21"/>
          <w:lang w:val="en-US" w:eastAsia="zh-CN"/>
        </w:rPr>
        <w:t>特种作业</w:t>
      </w:r>
      <w:r>
        <w:rPr>
          <w:rFonts w:hint="eastAsia" w:ascii="宋体" w:hAnsi="宋体" w:cs="宋体"/>
          <w:b w:val="0"/>
          <w:bCs w:val="0"/>
          <w:color w:val="auto"/>
          <w:sz w:val="21"/>
          <w:szCs w:val="21"/>
          <w:lang w:val="en-US" w:eastAsia="zh-CN"/>
        </w:rPr>
        <w:t>必</w:t>
      </w:r>
      <w:r>
        <w:rPr>
          <w:rFonts w:hint="eastAsia" w:ascii="宋体" w:hAnsi="宋体" w:eastAsia="宋体" w:cs="宋体"/>
          <w:b w:val="0"/>
          <w:bCs w:val="0"/>
          <w:color w:val="auto"/>
          <w:sz w:val="21"/>
          <w:szCs w:val="21"/>
          <w:lang w:val="en-US" w:eastAsia="zh-CN"/>
        </w:rPr>
        <w:t>需持证上岗</w:t>
      </w:r>
      <w:r>
        <w:rPr>
          <w:rFonts w:hint="eastAsia" w:ascii="宋体" w:hAnsi="宋体" w:cs="宋体"/>
          <w:b w:val="0"/>
          <w:bCs w:val="0"/>
          <w:color w:val="auto"/>
          <w:sz w:val="21"/>
          <w:szCs w:val="21"/>
          <w:lang w:val="en-US" w:eastAsia="zh-CN"/>
        </w:rPr>
        <w:t>。占道作业、夜间作业、土建施工等高风险作业必须加强施工现场安全管理，落实安全防范措施、配置专职安全人员，开展安全教育培训和安全技术交底，确保施工安全</w:t>
      </w:r>
      <w:r>
        <w:rPr>
          <w:rFonts w:hint="eastAsia" w:ascii="宋体" w:hAnsi="宋体" w:eastAsia="宋体" w:cs="宋体"/>
          <w:b w:val="0"/>
          <w:bCs w:val="0"/>
          <w:color w:val="auto"/>
          <w:sz w:val="21"/>
          <w:szCs w:val="21"/>
          <w:lang w:val="en-US" w:eastAsia="zh-CN"/>
        </w:rPr>
        <w:t>。</w:t>
      </w:r>
    </w:p>
    <w:p w14:paraId="32FFE02C">
      <w:pPr>
        <w:pStyle w:val="6"/>
        <w:keepNext w:val="0"/>
        <w:keepLines w:val="0"/>
        <w:pageBreakBefore w:val="0"/>
        <w:widowControl w:val="0"/>
        <w:kinsoku/>
        <w:wordWrap/>
        <w:overflowPunct/>
        <w:topLinePunct w:val="0"/>
        <w:autoSpaceDE/>
        <w:autoSpaceDN/>
        <w:bidi w:val="0"/>
        <w:spacing w:line="360" w:lineRule="auto"/>
        <w:ind w:left="0" w:firstLine="420" w:firstLineChars="20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（4）施工期间，按规范标准做好围挡，设置好警示牌，做好现场的</w:t>
      </w:r>
      <w:r>
        <w:rPr>
          <w:rFonts w:hint="eastAsia" w:ascii="宋体" w:hAnsi="宋体" w:cs="宋体"/>
          <w:b w:val="0"/>
          <w:bCs w:val="0"/>
          <w:color w:val="auto"/>
          <w:sz w:val="21"/>
          <w:szCs w:val="21"/>
          <w:lang w:val="en-US" w:eastAsia="zh-CN"/>
        </w:rPr>
        <w:t>安全</w:t>
      </w:r>
      <w:r>
        <w:rPr>
          <w:rFonts w:hint="eastAsia" w:ascii="宋体" w:hAnsi="宋体" w:eastAsia="宋体" w:cs="宋体"/>
          <w:b w:val="0"/>
          <w:bCs w:val="0"/>
          <w:color w:val="auto"/>
          <w:sz w:val="21"/>
          <w:szCs w:val="21"/>
          <w:lang w:val="en-US" w:eastAsia="zh-CN"/>
        </w:rPr>
        <w:t>文明</w:t>
      </w:r>
      <w:r>
        <w:rPr>
          <w:rFonts w:hint="eastAsia" w:ascii="宋体" w:hAnsi="宋体" w:cs="宋体"/>
          <w:b w:val="0"/>
          <w:bCs w:val="0"/>
          <w:color w:val="auto"/>
          <w:sz w:val="21"/>
          <w:szCs w:val="21"/>
          <w:lang w:val="en-US" w:eastAsia="zh-CN"/>
        </w:rPr>
        <w:t>施工</w:t>
      </w:r>
      <w:r>
        <w:rPr>
          <w:rFonts w:hint="eastAsia" w:ascii="宋体" w:hAnsi="宋体" w:eastAsia="宋体" w:cs="宋体"/>
          <w:b w:val="0"/>
          <w:bCs w:val="0"/>
          <w:color w:val="auto"/>
          <w:sz w:val="21"/>
          <w:szCs w:val="21"/>
          <w:lang w:val="en-US" w:eastAsia="zh-CN"/>
        </w:rPr>
        <w:t>措施。</w:t>
      </w:r>
    </w:p>
    <w:p w14:paraId="36DD62EF">
      <w:pPr>
        <w:pStyle w:val="6"/>
        <w:keepNext w:val="0"/>
        <w:keepLines w:val="0"/>
        <w:pageBreakBefore w:val="0"/>
        <w:widowControl w:val="0"/>
        <w:kinsoku/>
        <w:wordWrap/>
        <w:overflowPunct/>
        <w:topLinePunct w:val="0"/>
        <w:autoSpaceDE/>
        <w:autoSpaceDN/>
        <w:bidi w:val="0"/>
        <w:spacing w:line="360" w:lineRule="auto"/>
        <w:ind w:left="0" w:firstLine="420" w:firstLineChars="2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（5）施工期间要服从公园的监督和指导，遵守公园的相关管理规定，做好安全防范措施。</w:t>
      </w:r>
    </w:p>
    <w:p w14:paraId="6DBA4221">
      <w:pPr>
        <w:pStyle w:val="6"/>
        <w:keepNext w:val="0"/>
        <w:keepLines w:val="0"/>
        <w:pageBreakBefore w:val="0"/>
        <w:widowControl w:val="0"/>
        <w:kinsoku/>
        <w:wordWrap/>
        <w:overflowPunct/>
        <w:topLinePunct w:val="0"/>
        <w:autoSpaceDE/>
        <w:autoSpaceDN/>
        <w:bidi w:val="0"/>
        <w:spacing w:line="360" w:lineRule="auto"/>
        <w:ind w:left="0" w:firstLine="420" w:firstLineChars="200"/>
        <w:jc w:val="both"/>
        <w:rPr>
          <w:rFonts w:hint="eastAsia" w:ascii="宋体" w:hAnsi="宋体" w:eastAsia="宋体" w:cs="宋体"/>
          <w:b w:val="0"/>
          <w:bCs w:val="0"/>
          <w:kern w:val="2"/>
          <w:sz w:val="21"/>
          <w:szCs w:val="21"/>
        </w:rPr>
      </w:pPr>
      <w:r>
        <w:rPr>
          <w:rFonts w:hint="eastAsia" w:ascii="宋体" w:hAnsi="宋体" w:eastAsia="宋体" w:cs="宋体"/>
          <w:b w:val="0"/>
          <w:bCs w:val="0"/>
          <w:kern w:val="2"/>
          <w:sz w:val="21"/>
          <w:szCs w:val="21"/>
          <w:lang w:val="en-US" w:eastAsia="zh-CN"/>
        </w:rPr>
        <w:t>5.</w:t>
      </w:r>
      <w:r>
        <w:rPr>
          <w:rFonts w:hint="eastAsia" w:ascii="宋体" w:hAnsi="宋体" w:eastAsia="宋体" w:cs="宋体"/>
          <w:b w:val="0"/>
          <w:bCs w:val="0"/>
          <w:kern w:val="2"/>
          <w:sz w:val="21"/>
          <w:szCs w:val="21"/>
        </w:rPr>
        <w:t>团队</w:t>
      </w:r>
      <w:r>
        <w:rPr>
          <w:rFonts w:hint="eastAsia" w:ascii="宋体" w:hAnsi="宋体" w:eastAsia="宋体" w:cs="宋体"/>
          <w:b w:val="0"/>
          <w:bCs w:val="0"/>
          <w:kern w:val="2"/>
          <w:sz w:val="21"/>
          <w:szCs w:val="21"/>
          <w:lang w:eastAsia="zh-CN"/>
        </w:rPr>
        <w:t>人员</w:t>
      </w:r>
      <w:r>
        <w:rPr>
          <w:rFonts w:hint="eastAsia" w:ascii="宋体" w:hAnsi="宋体" w:eastAsia="宋体" w:cs="宋体"/>
          <w:b w:val="0"/>
          <w:bCs w:val="0"/>
          <w:kern w:val="2"/>
          <w:sz w:val="21"/>
          <w:szCs w:val="21"/>
        </w:rPr>
        <w:t>要求</w:t>
      </w:r>
    </w:p>
    <w:p w14:paraId="6D930421">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rPr>
        <w:t>本</w:t>
      </w:r>
      <w:r>
        <w:rPr>
          <w:rFonts w:hint="eastAsia" w:ascii="宋体" w:hAnsi="宋体" w:eastAsia="宋体" w:cs="宋体"/>
          <w:b w:val="0"/>
          <w:bCs w:val="0"/>
          <w:kern w:val="0"/>
          <w:sz w:val="21"/>
          <w:szCs w:val="21"/>
          <w:lang w:eastAsia="zh-CN"/>
        </w:rPr>
        <w:t>项目</w:t>
      </w:r>
      <w:r>
        <w:rPr>
          <w:rFonts w:hint="eastAsia" w:ascii="宋体" w:hAnsi="宋体" w:eastAsia="宋体" w:cs="宋体"/>
          <w:b w:val="0"/>
          <w:bCs w:val="0"/>
          <w:kern w:val="0"/>
          <w:sz w:val="21"/>
          <w:szCs w:val="21"/>
        </w:rPr>
        <w:t>需要具有较高的艺术性，因此对项目团队的艺术素养，对</w:t>
      </w:r>
      <w:r>
        <w:rPr>
          <w:rFonts w:hint="eastAsia" w:ascii="宋体" w:hAnsi="宋体" w:eastAsia="宋体" w:cs="宋体"/>
          <w:b w:val="0"/>
          <w:bCs w:val="0"/>
          <w:kern w:val="0"/>
          <w:sz w:val="21"/>
          <w:szCs w:val="21"/>
          <w:lang w:eastAsia="zh-CN"/>
        </w:rPr>
        <w:t>光影作品</w:t>
      </w:r>
      <w:r>
        <w:rPr>
          <w:rFonts w:hint="eastAsia" w:ascii="宋体" w:hAnsi="宋体" w:eastAsia="宋体" w:cs="宋体"/>
          <w:b w:val="0"/>
          <w:bCs w:val="0"/>
          <w:kern w:val="0"/>
          <w:sz w:val="21"/>
          <w:szCs w:val="21"/>
        </w:rPr>
        <w:t>落地效果的把控，</w:t>
      </w:r>
      <w:r>
        <w:rPr>
          <w:rFonts w:hint="eastAsia" w:ascii="宋体" w:hAnsi="宋体" w:eastAsia="宋体" w:cs="宋体"/>
          <w:b w:val="0"/>
          <w:bCs w:val="0"/>
          <w:kern w:val="0"/>
          <w:sz w:val="21"/>
          <w:szCs w:val="21"/>
          <w:lang w:eastAsia="zh-CN"/>
        </w:rPr>
        <w:t>对活动组织的经验，</w:t>
      </w:r>
      <w:r>
        <w:rPr>
          <w:rFonts w:hint="eastAsia" w:ascii="宋体" w:hAnsi="宋体" w:eastAsia="宋体" w:cs="宋体"/>
          <w:b w:val="0"/>
          <w:bCs w:val="0"/>
          <w:kern w:val="0"/>
          <w:sz w:val="21"/>
          <w:szCs w:val="21"/>
        </w:rPr>
        <w:t>对各项工作推进配合要求较高。</w:t>
      </w:r>
      <w:r>
        <w:rPr>
          <w:rFonts w:hint="eastAsia" w:ascii="宋体" w:hAnsi="宋体" w:eastAsia="宋体" w:cs="宋体"/>
          <w:b w:val="0"/>
          <w:bCs w:val="0"/>
          <w:kern w:val="0"/>
          <w:sz w:val="21"/>
          <w:szCs w:val="21"/>
          <w:lang w:eastAsia="zh-CN"/>
        </w:rPr>
        <w:t>中标单位</w:t>
      </w:r>
      <w:r>
        <w:rPr>
          <w:rFonts w:hint="eastAsia" w:ascii="宋体" w:hAnsi="宋体" w:eastAsia="宋体" w:cs="宋体"/>
          <w:b w:val="0"/>
          <w:bCs w:val="0"/>
          <w:kern w:val="0"/>
          <w:sz w:val="21"/>
          <w:szCs w:val="21"/>
        </w:rPr>
        <w:t>需针对项目组建专业团队，团队构成包括1名项目负责人，</w:t>
      </w:r>
      <w:r>
        <w:rPr>
          <w:rFonts w:hint="eastAsia" w:ascii="宋体" w:hAnsi="宋体" w:eastAsia="宋体" w:cs="宋体"/>
          <w:b w:val="0"/>
          <w:bCs w:val="0"/>
          <w:kern w:val="0"/>
          <w:sz w:val="21"/>
          <w:szCs w:val="21"/>
          <w:lang w:val="en-US" w:eastAsia="zh-CN"/>
        </w:rPr>
        <w:t>7</w:t>
      </w:r>
      <w:r>
        <w:rPr>
          <w:rFonts w:hint="eastAsia" w:ascii="宋体" w:hAnsi="宋体" w:eastAsia="宋体" w:cs="宋体"/>
          <w:b w:val="0"/>
          <w:bCs w:val="0"/>
          <w:kern w:val="0"/>
          <w:sz w:val="21"/>
          <w:szCs w:val="21"/>
        </w:rPr>
        <w:t>名项目执行人员</w:t>
      </w: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lang w:val="en-US" w:eastAsia="zh-CN"/>
        </w:rPr>
        <w:t>具体要求如下：</w:t>
      </w:r>
    </w:p>
    <w:p w14:paraId="0C0902B2">
      <w:pPr>
        <w:pStyle w:val="2"/>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（1）项目负责人1名，负责项目整体统筹、进度管理及各方之间的沟通，确保项目可以按时保质完成；</w:t>
      </w:r>
    </w:p>
    <w:p w14:paraId="25052751">
      <w:pPr>
        <w:pStyle w:val="2"/>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（2）策划人员</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lang w:val="en-US" w:eastAsia="zh-CN"/>
        </w:rPr>
        <w:t>名，负责项目的前期调研、策划、调整修改及汇报等；</w:t>
      </w:r>
    </w:p>
    <w:p w14:paraId="17A397BD">
      <w:pPr>
        <w:pStyle w:val="2"/>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（3）文案人员1名，负责撰写各类通稿、核对发布文字等；</w:t>
      </w:r>
    </w:p>
    <w:p w14:paraId="6293DEEE">
      <w:pPr>
        <w:keepNext w:val="0"/>
        <w:keepLines w:val="0"/>
        <w:pageBreakBefore w:val="0"/>
        <w:widowControl w:val="0"/>
        <w:kinsoku/>
        <w:overflowPunct/>
        <w:topLinePunct w:val="0"/>
        <w:autoSpaceDE/>
        <w:autoSpaceDN/>
        <w:bidi w:val="0"/>
        <w:spacing w:line="360" w:lineRule="auto"/>
        <w:ind w:firstLine="420" w:firstLineChars="200"/>
        <w:rPr>
          <w:rFonts w:hint="eastAsia" w:ascii="宋体" w:hAnsi="宋体" w:eastAsia="宋体" w:cs="宋体"/>
          <w:lang w:val="en-US" w:eastAsia="zh-CN"/>
        </w:rPr>
      </w:pPr>
      <w:r>
        <w:rPr>
          <w:rFonts w:hint="eastAsia" w:ascii="宋体" w:hAnsi="宋体" w:eastAsia="宋体" w:cs="宋体"/>
          <w:b w:val="0"/>
          <w:bCs w:val="0"/>
          <w:sz w:val="21"/>
          <w:szCs w:val="21"/>
          <w:lang w:val="en-US" w:eastAsia="zh-CN"/>
        </w:rPr>
        <w:t>（4）美工人员1名，负责制作各类图片、视频等</w:t>
      </w:r>
    </w:p>
    <w:p w14:paraId="279B6DB7">
      <w:pPr>
        <w:pStyle w:val="2"/>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（5）项目管理人员3名，负责统筹各项活动的落地执行，负责现场管理、场地布置、现场执行等工作；</w:t>
      </w:r>
    </w:p>
    <w:p w14:paraId="5D26019A">
      <w:pPr>
        <w:pStyle w:val="2"/>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（6）商务管理人员1名，负责活动前期协调各参与的艺术家、艺术团队、工程团队、参与活动的各个人员等；</w:t>
      </w:r>
    </w:p>
    <w:p w14:paraId="4AA4C96B">
      <w:pPr>
        <w:pStyle w:val="217"/>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6.知识产权要求</w:t>
      </w:r>
    </w:p>
    <w:p w14:paraId="7815D321">
      <w:pPr>
        <w:pStyle w:val="217"/>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）中标单位</w:t>
      </w:r>
      <w:r>
        <w:rPr>
          <w:rFonts w:hint="eastAsia" w:ascii="宋体" w:hAnsi="宋体" w:eastAsia="宋体" w:cs="宋体"/>
          <w:b w:val="0"/>
          <w:bCs w:val="0"/>
          <w:sz w:val="21"/>
          <w:szCs w:val="21"/>
        </w:rPr>
        <w:t>应保证</w:t>
      </w:r>
      <w:r>
        <w:rPr>
          <w:rFonts w:hint="eastAsia" w:ascii="宋体" w:hAnsi="宋体" w:eastAsia="宋体" w:cs="宋体"/>
          <w:b w:val="0"/>
          <w:bCs w:val="0"/>
          <w:sz w:val="21"/>
          <w:szCs w:val="21"/>
          <w:lang w:eastAsia="zh-CN"/>
        </w:rPr>
        <w:t>光影作品</w:t>
      </w:r>
      <w:r>
        <w:rPr>
          <w:rFonts w:hint="eastAsia" w:ascii="宋体" w:hAnsi="宋体" w:eastAsia="宋体" w:cs="宋体"/>
          <w:b w:val="0"/>
          <w:bCs w:val="0"/>
          <w:sz w:val="21"/>
          <w:szCs w:val="21"/>
        </w:rPr>
        <w:t>具有原创性、合法性。若</w:t>
      </w:r>
      <w:r>
        <w:rPr>
          <w:rFonts w:hint="eastAsia" w:ascii="宋体" w:hAnsi="宋体" w:eastAsia="宋体" w:cs="宋体"/>
          <w:b w:val="0"/>
          <w:bCs w:val="0"/>
          <w:sz w:val="21"/>
          <w:szCs w:val="21"/>
          <w:lang w:eastAsia="zh-CN"/>
        </w:rPr>
        <w:t>项目内容</w:t>
      </w:r>
      <w:r>
        <w:rPr>
          <w:rFonts w:hint="eastAsia" w:ascii="宋体" w:hAnsi="宋体" w:eastAsia="宋体" w:cs="宋体"/>
          <w:b w:val="0"/>
          <w:bCs w:val="0"/>
          <w:sz w:val="21"/>
          <w:szCs w:val="21"/>
        </w:rPr>
        <w:t>侵犯他人知识产权等权益或被处罚，由</w:t>
      </w:r>
      <w:r>
        <w:rPr>
          <w:rFonts w:hint="eastAsia" w:ascii="宋体" w:hAnsi="宋体" w:eastAsia="宋体" w:cs="宋体"/>
          <w:b w:val="0"/>
          <w:bCs w:val="0"/>
          <w:sz w:val="21"/>
          <w:szCs w:val="21"/>
          <w:lang w:eastAsia="zh-CN"/>
        </w:rPr>
        <w:t>中标单位</w:t>
      </w:r>
      <w:r>
        <w:rPr>
          <w:rFonts w:hint="eastAsia" w:ascii="宋体" w:hAnsi="宋体" w:eastAsia="宋体" w:cs="宋体"/>
          <w:b w:val="0"/>
          <w:bCs w:val="0"/>
          <w:sz w:val="21"/>
          <w:szCs w:val="21"/>
        </w:rPr>
        <w:t>自行承担法律责任及相关诉讼费用。</w:t>
      </w:r>
    </w:p>
    <w:p w14:paraId="0CF6EF00">
      <w:pPr>
        <w:pStyle w:val="217"/>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）中标单位</w:t>
      </w:r>
      <w:r>
        <w:rPr>
          <w:rFonts w:hint="eastAsia" w:ascii="宋体" w:hAnsi="宋体" w:eastAsia="宋体" w:cs="宋体"/>
          <w:b w:val="0"/>
          <w:bCs w:val="0"/>
          <w:sz w:val="21"/>
          <w:szCs w:val="21"/>
        </w:rPr>
        <w:t>应取得</w:t>
      </w:r>
      <w:r>
        <w:rPr>
          <w:rFonts w:hint="eastAsia" w:ascii="宋体" w:hAnsi="宋体" w:eastAsia="宋体" w:cs="宋体"/>
          <w:b w:val="0"/>
          <w:bCs w:val="0"/>
          <w:sz w:val="21"/>
          <w:szCs w:val="21"/>
          <w:lang w:eastAsia="zh-CN"/>
        </w:rPr>
        <w:t>光影作品及活动组织作者的</w:t>
      </w:r>
      <w:r>
        <w:rPr>
          <w:rFonts w:hint="eastAsia" w:ascii="宋体" w:hAnsi="宋体" w:eastAsia="宋体" w:cs="宋体"/>
          <w:b w:val="0"/>
          <w:bCs w:val="0"/>
          <w:sz w:val="21"/>
          <w:szCs w:val="21"/>
        </w:rPr>
        <w:t>书面授权，确认授权</w:t>
      </w:r>
      <w:r>
        <w:rPr>
          <w:rFonts w:hint="eastAsia" w:ascii="宋体" w:hAnsi="宋体" w:eastAsia="宋体" w:cs="宋体"/>
          <w:b w:val="0"/>
          <w:bCs w:val="0"/>
          <w:sz w:val="21"/>
          <w:szCs w:val="21"/>
          <w:lang w:eastAsia="zh-CN"/>
        </w:rPr>
        <w:t>采购、中标等</w:t>
      </w:r>
      <w:r>
        <w:rPr>
          <w:rFonts w:hint="eastAsia" w:ascii="宋体" w:hAnsi="宋体" w:eastAsia="宋体" w:cs="宋体"/>
          <w:b w:val="0"/>
          <w:bCs w:val="0"/>
          <w:sz w:val="21"/>
          <w:szCs w:val="21"/>
        </w:rPr>
        <w:t>相关单位有权使用。授权书须至少包括以下内容：</w:t>
      </w:r>
    </w:p>
    <w:p w14:paraId="46120DA2">
      <w:pPr>
        <w:pStyle w:val="217"/>
        <w:keepNext w:val="0"/>
        <w:keepLines w:val="0"/>
        <w:pageBreakBefore w:val="0"/>
        <w:widowControl w:val="0"/>
        <w:numPr>
          <w:ilvl w:val="255"/>
          <w:numId w:val="0"/>
        </w:numPr>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A.</w:t>
      </w:r>
      <w:r>
        <w:rPr>
          <w:rFonts w:hint="eastAsia" w:ascii="宋体" w:hAnsi="宋体" w:eastAsia="宋体" w:cs="宋体"/>
          <w:b w:val="0"/>
          <w:bCs w:val="0"/>
          <w:sz w:val="21"/>
          <w:szCs w:val="21"/>
        </w:rPr>
        <w:t>授权</w:t>
      </w:r>
      <w:r>
        <w:rPr>
          <w:rFonts w:hint="eastAsia" w:ascii="宋体" w:hAnsi="宋体" w:eastAsia="宋体" w:cs="宋体"/>
          <w:b w:val="0"/>
          <w:bCs w:val="0"/>
          <w:sz w:val="21"/>
          <w:szCs w:val="21"/>
          <w:lang w:eastAsia="zh-CN"/>
        </w:rPr>
        <w:t>采购、中标等</w:t>
      </w:r>
      <w:r>
        <w:rPr>
          <w:rFonts w:hint="eastAsia" w:ascii="宋体" w:hAnsi="宋体" w:eastAsia="宋体" w:cs="宋体"/>
          <w:b w:val="0"/>
          <w:bCs w:val="0"/>
          <w:sz w:val="21"/>
          <w:szCs w:val="21"/>
        </w:rPr>
        <w:t>相关单位使用；</w:t>
      </w:r>
    </w:p>
    <w:p w14:paraId="24D25106">
      <w:pPr>
        <w:pStyle w:val="217"/>
        <w:keepNext w:val="0"/>
        <w:keepLines w:val="0"/>
        <w:pageBreakBefore w:val="0"/>
        <w:widowControl w:val="0"/>
        <w:numPr>
          <w:ilvl w:val="255"/>
          <w:numId w:val="0"/>
        </w:numPr>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B.</w:t>
      </w:r>
      <w:r>
        <w:rPr>
          <w:rFonts w:hint="eastAsia" w:ascii="宋体" w:hAnsi="宋体" w:eastAsia="宋体" w:cs="宋体"/>
          <w:b w:val="0"/>
          <w:bCs w:val="0"/>
          <w:sz w:val="21"/>
          <w:szCs w:val="21"/>
        </w:rPr>
        <w:t>授权</w:t>
      </w:r>
      <w:r>
        <w:rPr>
          <w:rFonts w:hint="eastAsia" w:ascii="宋体" w:hAnsi="宋体" w:eastAsia="宋体" w:cs="宋体"/>
          <w:b w:val="0"/>
          <w:bCs w:val="0"/>
          <w:sz w:val="21"/>
          <w:szCs w:val="21"/>
          <w:lang w:eastAsia="zh-CN"/>
        </w:rPr>
        <w:t>采购、中标等</w:t>
      </w:r>
      <w:r>
        <w:rPr>
          <w:rFonts w:hint="eastAsia" w:ascii="宋体" w:hAnsi="宋体" w:eastAsia="宋体" w:cs="宋体"/>
          <w:b w:val="0"/>
          <w:bCs w:val="0"/>
          <w:sz w:val="21"/>
          <w:szCs w:val="21"/>
        </w:rPr>
        <w:t>相关单位使用其提供的图片、视频、文字等相关信息，用于宣传，包括在网络、报刊杂志、电视等媒体渠道发布；用于设计制作宣传册、海报、喷绘等宣传物料。使用时，</w:t>
      </w:r>
      <w:r>
        <w:rPr>
          <w:rFonts w:hint="eastAsia" w:ascii="宋体" w:hAnsi="宋体" w:eastAsia="宋体" w:cs="宋体"/>
          <w:b w:val="0"/>
          <w:bCs w:val="0"/>
          <w:sz w:val="21"/>
          <w:szCs w:val="21"/>
          <w:lang w:eastAsia="zh-CN"/>
        </w:rPr>
        <w:t>采购、中标等</w:t>
      </w:r>
      <w:r>
        <w:rPr>
          <w:rFonts w:hint="eastAsia" w:ascii="宋体" w:hAnsi="宋体" w:eastAsia="宋体" w:cs="宋体"/>
          <w:b w:val="0"/>
          <w:bCs w:val="0"/>
          <w:sz w:val="21"/>
          <w:szCs w:val="21"/>
        </w:rPr>
        <w:t>相关单位以适当方式注明名称；</w:t>
      </w:r>
    </w:p>
    <w:p w14:paraId="0F34EC19">
      <w:pPr>
        <w:pStyle w:val="217"/>
        <w:keepNext w:val="0"/>
        <w:keepLines w:val="0"/>
        <w:pageBreakBefore w:val="0"/>
        <w:widowControl w:val="0"/>
        <w:numPr>
          <w:ilvl w:val="255"/>
          <w:numId w:val="0"/>
        </w:numPr>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C.</w:t>
      </w:r>
      <w:r>
        <w:rPr>
          <w:rFonts w:hint="eastAsia" w:ascii="宋体" w:hAnsi="宋体" w:eastAsia="宋体" w:cs="宋体"/>
          <w:b w:val="0"/>
          <w:bCs w:val="0"/>
          <w:sz w:val="21"/>
          <w:szCs w:val="21"/>
        </w:rPr>
        <w:t>授权</w:t>
      </w:r>
      <w:r>
        <w:rPr>
          <w:rFonts w:hint="eastAsia" w:ascii="宋体" w:hAnsi="宋体" w:eastAsia="宋体" w:cs="宋体"/>
          <w:b w:val="0"/>
          <w:bCs w:val="0"/>
          <w:sz w:val="21"/>
          <w:szCs w:val="21"/>
          <w:lang w:eastAsia="zh-CN"/>
        </w:rPr>
        <w:t>采购、中标等</w:t>
      </w:r>
      <w:r>
        <w:rPr>
          <w:rFonts w:hint="eastAsia" w:ascii="宋体" w:hAnsi="宋体" w:eastAsia="宋体" w:cs="宋体"/>
          <w:b w:val="0"/>
          <w:bCs w:val="0"/>
          <w:sz w:val="21"/>
          <w:szCs w:val="21"/>
        </w:rPr>
        <w:t>相关单位进行平面和视频拍摄；</w:t>
      </w:r>
    </w:p>
    <w:p w14:paraId="10597F91">
      <w:pPr>
        <w:pStyle w:val="217"/>
        <w:keepNext w:val="0"/>
        <w:keepLines w:val="0"/>
        <w:pageBreakBefore w:val="0"/>
        <w:widowControl w:val="0"/>
        <w:numPr>
          <w:ilvl w:val="255"/>
          <w:numId w:val="0"/>
        </w:numPr>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D.</w:t>
      </w:r>
      <w:r>
        <w:rPr>
          <w:rFonts w:hint="eastAsia" w:ascii="宋体" w:hAnsi="宋体" w:eastAsia="宋体" w:cs="宋体"/>
          <w:b w:val="0"/>
          <w:bCs w:val="0"/>
          <w:sz w:val="21"/>
          <w:szCs w:val="21"/>
        </w:rPr>
        <w:t>参展作品作者授权投标人及深圳光影艺术季相关单位使用有关展品文字、图片及影像档案等资料，用于以宣传推介本展为目的所进行的出版、信息发布、媒体宣传、纪念品制作等项目；</w:t>
      </w:r>
    </w:p>
    <w:p w14:paraId="148FE0C9">
      <w:pPr>
        <w:pStyle w:val="217"/>
        <w:keepNext w:val="0"/>
        <w:keepLines w:val="0"/>
        <w:pageBreakBefore w:val="0"/>
        <w:widowControl w:val="0"/>
        <w:numPr>
          <w:ilvl w:val="255"/>
          <w:numId w:val="0"/>
        </w:numPr>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E.</w:t>
      </w:r>
      <w:r>
        <w:rPr>
          <w:rFonts w:hint="eastAsia" w:ascii="宋体" w:hAnsi="宋体" w:eastAsia="宋体" w:cs="宋体"/>
          <w:b w:val="0"/>
          <w:bCs w:val="0"/>
          <w:sz w:val="21"/>
          <w:szCs w:val="21"/>
        </w:rPr>
        <w:t>用于</w:t>
      </w:r>
      <w:r>
        <w:rPr>
          <w:rFonts w:hint="eastAsia" w:ascii="宋体" w:hAnsi="宋体" w:eastAsia="宋体" w:cs="宋体"/>
          <w:b w:val="0"/>
          <w:bCs w:val="0"/>
          <w:sz w:val="21"/>
          <w:szCs w:val="21"/>
          <w:lang w:eastAsia="zh-CN"/>
        </w:rPr>
        <w:t>采购、中标等</w:t>
      </w:r>
      <w:r>
        <w:rPr>
          <w:rFonts w:hint="eastAsia" w:ascii="宋体" w:hAnsi="宋体" w:eastAsia="宋体" w:cs="宋体"/>
          <w:b w:val="0"/>
          <w:bCs w:val="0"/>
          <w:sz w:val="21"/>
          <w:szCs w:val="21"/>
        </w:rPr>
        <w:t>相关单位所需的其他相关事宜。</w:t>
      </w:r>
    </w:p>
    <w:p w14:paraId="1C656048">
      <w:pPr>
        <w:pStyle w:val="217"/>
        <w:keepNext w:val="0"/>
        <w:keepLines w:val="0"/>
        <w:pageBreakBefore w:val="0"/>
        <w:widowControl w:val="0"/>
        <w:numPr>
          <w:ilvl w:val="255"/>
          <w:numId w:val="0"/>
        </w:numPr>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以上授权事宜</w:t>
      </w:r>
      <w:r>
        <w:rPr>
          <w:rFonts w:hint="eastAsia" w:ascii="宋体" w:hAnsi="宋体" w:eastAsia="宋体" w:cs="宋体"/>
          <w:b w:val="0"/>
          <w:bCs w:val="0"/>
          <w:sz w:val="21"/>
          <w:szCs w:val="21"/>
          <w:lang w:eastAsia="zh-CN"/>
        </w:rPr>
        <w:t>采购单位</w:t>
      </w:r>
      <w:r>
        <w:rPr>
          <w:rFonts w:hint="eastAsia" w:ascii="宋体" w:hAnsi="宋体" w:eastAsia="宋体" w:cs="宋体"/>
          <w:b w:val="0"/>
          <w:bCs w:val="0"/>
          <w:sz w:val="21"/>
          <w:szCs w:val="21"/>
        </w:rPr>
        <w:t>无需再额外向</w:t>
      </w:r>
      <w:r>
        <w:rPr>
          <w:rFonts w:hint="eastAsia" w:ascii="宋体" w:hAnsi="宋体" w:eastAsia="宋体" w:cs="宋体"/>
          <w:b w:val="0"/>
          <w:bCs w:val="0"/>
          <w:sz w:val="21"/>
          <w:szCs w:val="21"/>
          <w:lang w:eastAsia="zh-CN"/>
        </w:rPr>
        <w:t>中标单位</w:t>
      </w:r>
      <w:r>
        <w:rPr>
          <w:rFonts w:hint="eastAsia" w:ascii="宋体" w:hAnsi="宋体" w:eastAsia="宋体" w:cs="宋体"/>
          <w:b w:val="0"/>
          <w:bCs w:val="0"/>
          <w:sz w:val="21"/>
          <w:szCs w:val="21"/>
        </w:rPr>
        <w:t>或者作者支付费用，</w:t>
      </w:r>
      <w:r>
        <w:rPr>
          <w:rFonts w:hint="eastAsia" w:ascii="宋体" w:hAnsi="宋体" w:eastAsia="宋体" w:cs="宋体"/>
          <w:b w:val="0"/>
          <w:bCs w:val="0"/>
          <w:sz w:val="21"/>
          <w:szCs w:val="21"/>
          <w:lang w:eastAsia="zh-CN"/>
        </w:rPr>
        <w:t>采购单位</w:t>
      </w:r>
      <w:r>
        <w:rPr>
          <w:rFonts w:hint="eastAsia" w:ascii="宋体" w:hAnsi="宋体" w:eastAsia="宋体" w:cs="宋体"/>
          <w:b w:val="0"/>
          <w:bCs w:val="0"/>
          <w:sz w:val="21"/>
          <w:szCs w:val="21"/>
        </w:rPr>
        <w:t>拥有对</w:t>
      </w:r>
      <w:r>
        <w:rPr>
          <w:rFonts w:hint="eastAsia" w:ascii="宋体" w:hAnsi="宋体" w:eastAsia="宋体" w:cs="宋体"/>
          <w:b w:val="0"/>
          <w:bCs w:val="0"/>
          <w:sz w:val="21"/>
          <w:szCs w:val="21"/>
          <w:lang w:eastAsia="zh-CN"/>
        </w:rPr>
        <w:t>外</w:t>
      </w:r>
      <w:r>
        <w:rPr>
          <w:rFonts w:hint="eastAsia" w:ascii="宋体" w:hAnsi="宋体" w:eastAsia="宋体" w:cs="宋体"/>
          <w:b w:val="0"/>
          <w:bCs w:val="0"/>
          <w:sz w:val="21"/>
          <w:szCs w:val="21"/>
        </w:rPr>
        <w:t>推广宣传而制作出的视频、图像、宣传册、海报等宣传物料享有所有知识产权和所有权。</w:t>
      </w:r>
    </w:p>
    <w:p w14:paraId="5CF9D804">
      <w:pPr>
        <w:pStyle w:val="51"/>
        <w:keepNext w:val="0"/>
        <w:keepLines w:val="0"/>
        <w:pageBreakBefore w:val="0"/>
        <w:widowControl w:val="0"/>
        <w:numPr>
          <w:ilvl w:val="0"/>
          <w:numId w:val="0"/>
        </w:numPr>
        <w:kinsoku/>
        <w:wordWrap/>
        <w:overflowPunct/>
        <w:topLinePunct w:val="0"/>
        <w:autoSpaceDE/>
        <w:autoSpaceDN/>
        <w:bidi w:val="0"/>
        <w:spacing w:before="0" w:after="0" w:line="360" w:lineRule="auto"/>
        <w:ind w:left="0" w:firstLine="462" w:firstLineChars="200"/>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（四）权利与义务：</w:t>
      </w:r>
    </w:p>
    <w:p w14:paraId="583267BD">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采购单位</w:t>
      </w:r>
      <w:r>
        <w:rPr>
          <w:rFonts w:hint="eastAsia" w:ascii="宋体" w:hAnsi="宋体" w:eastAsia="宋体" w:cs="宋体"/>
          <w:b w:val="0"/>
          <w:bCs w:val="0"/>
          <w:sz w:val="21"/>
          <w:szCs w:val="21"/>
        </w:rPr>
        <w:t>的权利与义务</w:t>
      </w:r>
    </w:p>
    <w:p w14:paraId="61501987">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）采购单位</w:t>
      </w:r>
      <w:r>
        <w:rPr>
          <w:rFonts w:hint="eastAsia" w:ascii="宋体" w:hAnsi="宋体" w:eastAsia="宋体" w:cs="宋体"/>
          <w:b w:val="0"/>
          <w:bCs w:val="0"/>
          <w:sz w:val="21"/>
          <w:szCs w:val="21"/>
        </w:rPr>
        <w:t>指定专项负责人对</w:t>
      </w:r>
      <w:r>
        <w:rPr>
          <w:rFonts w:hint="eastAsia" w:ascii="宋体" w:hAnsi="宋体" w:eastAsia="宋体" w:cs="宋体"/>
          <w:b w:val="0"/>
          <w:bCs w:val="0"/>
          <w:sz w:val="21"/>
          <w:szCs w:val="21"/>
          <w:lang w:eastAsia="zh-CN"/>
        </w:rPr>
        <w:t>光影作品</w:t>
      </w:r>
      <w:r>
        <w:rPr>
          <w:rFonts w:hint="eastAsia" w:ascii="宋体" w:hAnsi="宋体" w:eastAsia="宋体" w:cs="宋体"/>
          <w:b w:val="0"/>
          <w:bCs w:val="0"/>
          <w:sz w:val="21"/>
          <w:szCs w:val="21"/>
        </w:rPr>
        <w:t>的设计、制作、执行、</w:t>
      </w:r>
      <w:r>
        <w:rPr>
          <w:rFonts w:hint="eastAsia" w:ascii="宋体" w:hAnsi="宋体" w:eastAsia="宋体" w:cs="宋体"/>
          <w:b w:val="0"/>
          <w:bCs w:val="0"/>
          <w:sz w:val="21"/>
          <w:szCs w:val="21"/>
          <w:lang w:eastAsia="zh-CN"/>
        </w:rPr>
        <w:t>布置</w:t>
      </w: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撤场以及活动组织执行</w:t>
      </w:r>
      <w:r>
        <w:rPr>
          <w:rFonts w:hint="eastAsia" w:ascii="宋体" w:hAnsi="宋体" w:eastAsia="宋体" w:cs="宋体"/>
          <w:b w:val="0"/>
          <w:bCs w:val="0"/>
          <w:sz w:val="21"/>
          <w:szCs w:val="21"/>
        </w:rPr>
        <w:t>等实施全面监督，并对成果进行验收。</w:t>
      </w:r>
    </w:p>
    <w:p w14:paraId="2CC04F8B">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lang w:eastAsia="zh-CN"/>
        </w:rPr>
        <w:t>）采购单位</w:t>
      </w:r>
      <w:r>
        <w:rPr>
          <w:rFonts w:hint="eastAsia" w:ascii="宋体" w:hAnsi="宋体" w:eastAsia="宋体" w:cs="宋体"/>
          <w:b w:val="0"/>
          <w:bCs w:val="0"/>
          <w:sz w:val="21"/>
          <w:szCs w:val="21"/>
        </w:rPr>
        <w:t>有权向中标</w:t>
      </w:r>
      <w:r>
        <w:rPr>
          <w:rFonts w:hint="eastAsia" w:ascii="宋体" w:hAnsi="宋体" w:eastAsia="宋体" w:cs="宋体"/>
          <w:b w:val="0"/>
          <w:bCs w:val="0"/>
          <w:sz w:val="21"/>
          <w:szCs w:val="21"/>
          <w:lang w:eastAsia="zh-CN"/>
        </w:rPr>
        <w:t>单位</w:t>
      </w:r>
      <w:r>
        <w:rPr>
          <w:rFonts w:hint="eastAsia" w:ascii="宋体" w:hAnsi="宋体" w:eastAsia="宋体" w:cs="宋体"/>
          <w:b w:val="0"/>
          <w:bCs w:val="0"/>
          <w:sz w:val="21"/>
          <w:szCs w:val="21"/>
        </w:rPr>
        <w:t>询问工作进展及相关情况，并要求中标</w:t>
      </w:r>
      <w:r>
        <w:rPr>
          <w:rFonts w:hint="eastAsia" w:ascii="宋体" w:hAnsi="宋体" w:eastAsia="宋体" w:cs="宋体"/>
          <w:b w:val="0"/>
          <w:bCs w:val="0"/>
          <w:sz w:val="21"/>
          <w:szCs w:val="21"/>
          <w:lang w:eastAsia="zh-CN"/>
        </w:rPr>
        <w:t>单位</w:t>
      </w:r>
      <w:r>
        <w:rPr>
          <w:rFonts w:hint="eastAsia" w:ascii="宋体" w:hAnsi="宋体" w:eastAsia="宋体" w:cs="宋体"/>
          <w:b w:val="0"/>
          <w:bCs w:val="0"/>
          <w:sz w:val="21"/>
          <w:szCs w:val="21"/>
        </w:rPr>
        <w:t>在指定时间内做出答复。</w:t>
      </w:r>
    </w:p>
    <w:p w14:paraId="49C1BD63">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3</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如中标</w:t>
      </w:r>
      <w:r>
        <w:rPr>
          <w:rFonts w:hint="eastAsia" w:ascii="宋体" w:hAnsi="宋体" w:eastAsia="宋体" w:cs="宋体"/>
          <w:b w:val="0"/>
          <w:bCs w:val="0"/>
          <w:sz w:val="21"/>
          <w:szCs w:val="21"/>
          <w:lang w:eastAsia="zh-CN"/>
        </w:rPr>
        <w:t>单位</w:t>
      </w:r>
      <w:r>
        <w:rPr>
          <w:rFonts w:hint="eastAsia" w:ascii="宋体" w:hAnsi="宋体" w:eastAsia="宋体" w:cs="宋体"/>
          <w:b w:val="0"/>
          <w:bCs w:val="0"/>
          <w:sz w:val="21"/>
          <w:szCs w:val="21"/>
        </w:rPr>
        <w:t>所提供的用以说明和描述技术方案、实施方案及步骤等文件，不具备实操性或实操性过低，影响最终方案、成果文件的质量，</w:t>
      </w:r>
      <w:r>
        <w:rPr>
          <w:rFonts w:hint="eastAsia" w:ascii="宋体" w:hAnsi="宋体" w:eastAsia="宋体" w:cs="宋体"/>
          <w:b w:val="0"/>
          <w:bCs w:val="0"/>
          <w:sz w:val="21"/>
          <w:szCs w:val="21"/>
          <w:lang w:eastAsia="zh-CN"/>
        </w:rPr>
        <w:t>采购单位</w:t>
      </w:r>
      <w:r>
        <w:rPr>
          <w:rFonts w:hint="eastAsia" w:ascii="宋体" w:hAnsi="宋体" w:eastAsia="宋体" w:cs="宋体"/>
          <w:b w:val="0"/>
          <w:bCs w:val="0"/>
          <w:sz w:val="21"/>
          <w:szCs w:val="21"/>
        </w:rPr>
        <w:t>有权要求中标</w:t>
      </w:r>
      <w:r>
        <w:rPr>
          <w:rFonts w:hint="eastAsia" w:ascii="宋体" w:hAnsi="宋体" w:eastAsia="宋体" w:cs="宋体"/>
          <w:b w:val="0"/>
          <w:bCs w:val="0"/>
          <w:sz w:val="21"/>
          <w:szCs w:val="21"/>
          <w:lang w:eastAsia="zh-CN"/>
        </w:rPr>
        <w:t>单位</w:t>
      </w:r>
      <w:r>
        <w:rPr>
          <w:rFonts w:hint="eastAsia" w:ascii="宋体" w:hAnsi="宋体" w:eastAsia="宋体" w:cs="宋体"/>
          <w:b w:val="0"/>
          <w:bCs w:val="0"/>
          <w:sz w:val="21"/>
          <w:szCs w:val="21"/>
        </w:rPr>
        <w:t>重新执行相应的工作服务，由此产生的全部费用由中标</w:t>
      </w:r>
      <w:r>
        <w:rPr>
          <w:rFonts w:hint="eastAsia" w:ascii="宋体" w:hAnsi="宋体" w:eastAsia="宋体" w:cs="宋体"/>
          <w:b w:val="0"/>
          <w:bCs w:val="0"/>
          <w:sz w:val="21"/>
          <w:szCs w:val="21"/>
          <w:lang w:eastAsia="zh-CN"/>
        </w:rPr>
        <w:t>单位</w:t>
      </w:r>
      <w:r>
        <w:rPr>
          <w:rFonts w:hint="eastAsia" w:ascii="宋体" w:hAnsi="宋体" w:eastAsia="宋体" w:cs="宋体"/>
          <w:b w:val="0"/>
          <w:bCs w:val="0"/>
          <w:sz w:val="21"/>
          <w:szCs w:val="21"/>
        </w:rPr>
        <w:t>自行承担。</w:t>
      </w:r>
    </w:p>
    <w:p w14:paraId="6839B73A">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4</w:t>
      </w:r>
      <w:r>
        <w:rPr>
          <w:rFonts w:hint="eastAsia" w:ascii="宋体" w:hAnsi="宋体" w:eastAsia="宋体" w:cs="宋体"/>
          <w:b w:val="0"/>
          <w:bCs w:val="0"/>
          <w:sz w:val="21"/>
          <w:szCs w:val="21"/>
          <w:lang w:eastAsia="zh-CN"/>
        </w:rPr>
        <w:t>）采购单位</w:t>
      </w:r>
      <w:r>
        <w:rPr>
          <w:rFonts w:hint="eastAsia" w:ascii="宋体" w:hAnsi="宋体" w:eastAsia="宋体" w:cs="宋体"/>
          <w:b w:val="0"/>
          <w:bCs w:val="0"/>
          <w:sz w:val="21"/>
          <w:szCs w:val="21"/>
        </w:rPr>
        <w:t>对中标</w:t>
      </w:r>
      <w:r>
        <w:rPr>
          <w:rFonts w:hint="eastAsia" w:ascii="宋体" w:hAnsi="宋体" w:eastAsia="宋体" w:cs="宋体"/>
          <w:b w:val="0"/>
          <w:bCs w:val="0"/>
          <w:sz w:val="21"/>
          <w:szCs w:val="21"/>
          <w:lang w:eastAsia="zh-CN"/>
        </w:rPr>
        <w:t>单位</w:t>
      </w:r>
      <w:r>
        <w:rPr>
          <w:rFonts w:hint="eastAsia" w:ascii="宋体" w:hAnsi="宋体" w:eastAsia="宋体" w:cs="宋体"/>
          <w:b w:val="0"/>
          <w:bCs w:val="0"/>
          <w:sz w:val="21"/>
          <w:szCs w:val="21"/>
        </w:rPr>
        <w:t>按照合同约定所履行的服务提供必要的支持与协助。</w:t>
      </w:r>
    </w:p>
    <w:p w14:paraId="337664DC">
      <w:pPr>
        <w:keepNext w:val="0"/>
        <w:keepLines w:val="0"/>
        <w:pageBreakBefore w:val="0"/>
        <w:widowControl w:val="0"/>
        <w:kinsoku/>
        <w:wordWrap/>
        <w:overflowPunct/>
        <w:topLinePunct w:val="0"/>
        <w:autoSpaceDE/>
        <w:autoSpaceDN/>
        <w:bidi w:val="0"/>
        <w:spacing w:line="360" w:lineRule="auto"/>
        <w:ind w:lef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5</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根据合同约定的相关条款，按时向中标</w:t>
      </w:r>
      <w:r>
        <w:rPr>
          <w:rFonts w:hint="eastAsia" w:ascii="宋体" w:hAnsi="宋体" w:eastAsia="宋体" w:cs="宋体"/>
          <w:b w:val="0"/>
          <w:bCs w:val="0"/>
          <w:sz w:val="21"/>
          <w:szCs w:val="21"/>
          <w:lang w:eastAsia="zh-CN"/>
        </w:rPr>
        <w:t>单位</w:t>
      </w:r>
      <w:r>
        <w:rPr>
          <w:rFonts w:hint="eastAsia" w:ascii="宋体" w:hAnsi="宋体" w:eastAsia="宋体" w:cs="宋体"/>
          <w:b w:val="0"/>
          <w:bCs w:val="0"/>
          <w:sz w:val="21"/>
          <w:szCs w:val="21"/>
        </w:rPr>
        <w:t>支付服务费用。</w:t>
      </w:r>
    </w:p>
    <w:p w14:paraId="2F5CE515">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val="en-US" w:eastAsia="zh-CN"/>
        </w:rPr>
        <w:t>2.</w:t>
      </w:r>
      <w:r>
        <w:rPr>
          <w:rFonts w:hint="eastAsia" w:ascii="宋体" w:hAnsi="宋体" w:eastAsia="宋体" w:cs="宋体"/>
          <w:b w:val="0"/>
          <w:bCs w:val="0"/>
          <w:kern w:val="0"/>
          <w:sz w:val="21"/>
          <w:szCs w:val="21"/>
        </w:rPr>
        <w:t>中标</w:t>
      </w:r>
      <w:r>
        <w:rPr>
          <w:rFonts w:hint="eastAsia" w:ascii="宋体" w:hAnsi="宋体" w:eastAsia="宋体" w:cs="宋体"/>
          <w:b w:val="0"/>
          <w:bCs w:val="0"/>
          <w:kern w:val="0"/>
          <w:sz w:val="21"/>
          <w:szCs w:val="21"/>
          <w:lang w:val="en-US" w:eastAsia="zh-CN"/>
        </w:rPr>
        <w:t>单位</w:t>
      </w:r>
      <w:r>
        <w:rPr>
          <w:rFonts w:hint="eastAsia" w:ascii="宋体" w:hAnsi="宋体" w:eastAsia="宋体" w:cs="宋体"/>
          <w:b w:val="0"/>
          <w:bCs w:val="0"/>
          <w:kern w:val="0"/>
          <w:sz w:val="21"/>
          <w:szCs w:val="21"/>
        </w:rPr>
        <w:t>的权利与义务</w:t>
      </w:r>
    </w:p>
    <w:p w14:paraId="4B810A6C">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lang w:val="en-US" w:eastAsia="zh-CN"/>
        </w:rPr>
        <w:t>1</w:t>
      </w: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根据工作需要，可要求招标</w:t>
      </w:r>
      <w:r>
        <w:rPr>
          <w:rFonts w:hint="eastAsia" w:ascii="宋体" w:hAnsi="宋体" w:eastAsia="宋体" w:cs="宋体"/>
          <w:b w:val="0"/>
          <w:bCs w:val="0"/>
          <w:kern w:val="0"/>
          <w:sz w:val="21"/>
          <w:szCs w:val="21"/>
          <w:lang w:eastAsia="zh-CN"/>
        </w:rPr>
        <w:t>单位</w:t>
      </w:r>
      <w:r>
        <w:rPr>
          <w:rFonts w:hint="eastAsia" w:ascii="宋体" w:hAnsi="宋体" w:eastAsia="宋体" w:cs="宋体"/>
          <w:b w:val="0"/>
          <w:bCs w:val="0"/>
          <w:kern w:val="0"/>
          <w:sz w:val="21"/>
          <w:szCs w:val="21"/>
        </w:rPr>
        <w:t>提供或协助中标</w:t>
      </w:r>
      <w:r>
        <w:rPr>
          <w:rFonts w:hint="eastAsia" w:ascii="宋体" w:hAnsi="宋体" w:eastAsia="宋体" w:cs="宋体"/>
          <w:b w:val="0"/>
          <w:bCs w:val="0"/>
          <w:kern w:val="0"/>
          <w:sz w:val="21"/>
          <w:szCs w:val="21"/>
          <w:lang w:eastAsia="zh-CN"/>
        </w:rPr>
        <w:t>单位</w:t>
      </w:r>
      <w:r>
        <w:rPr>
          <w:rFonts w:hint="eastAsia" w:ascii="宋体" w:hAnsi="宋体" w:eastAsia="宋体" w:cs="宋体"/>
          <w:b w:val="0"/>
          <w:bCs w:val="0"/>
          <w:kern w:val="0"/>
          <w:sz w:val="21"/>
          <w:szCs w:val="21"/>
        </w:rPr>
        <w:t>收集相关资料。</w:t>
      </w:r>
    </w:p>
    <w:p w14:paraId="7B9A42E1">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lang w:val="en-US" w:eastAsia="zh-CN"/>
        </w:rPr>
        <w:t>2</w:t>
      </w: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根据合同约定收取相应款项。</w:t>
      </w:r>
    </w:p>
    <w:p w14:paraId="7913470A">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lang w:val="en-US" w:eastAsia="zh-CN"/>
        </w:rPr>
        <w:t>3</w:t>
      </w: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及时向投标</w:t>
      </w:r>
      <w:r>
        <w:rPr>
          <w:rFonts w:hint="eastAsia" w:ascii="宋体" w:hAnsi="宋体" w:eastAsia="宋体" w:cs="宋体"/>
          <w:b w:val="0"/>
          <w:bCs w:val="0"/>
          <w:kern w:val="0"/>
          <w:sz w:val="21"/>
          <w:szCs w:val="21"/>
          <w:lang w:eastAsia="zh-CN"/>
        </w:rPr>
        <w:t>单位</w:t>
      </w:r>
      <w:r>
        <w:rPr>
          <w:rFonts w:hint="eastAsia" w:ascii="宋体" w:hAnsi="宋体" w:eastAsia="宋体" w:cs="宋体"/>
          <w:b w:val="0"/>
          <w:bCs w:val="0"/>
          <w:kern w:val="0"/>
          <w:sz w:val="21"/>
          <w:szCs w:val="21"/>
        </w:rPr>
        <w:t>通报作品的执行进度。</w:t>
      </w:r>
    </w:p>
    <w:p w14:paraId="40076E50">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lang w:val="en-US" w:eastAsia="zh-CN"/>
        </w:rPr>
        <w:t>4</w:t>
      </w: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按国家及深圳的有关法律法规、技术规范以及本合同约定的工作内容、工作进度等要求提供相应服务，并对其提交的成果负责。对于与本合同工作内容相关的其他相关事项，中标</w:t>
      </w:r>
      <w:r>
        <w:rPr>
          <w:rFonts w:hint="eastAsia" w:ascii="宋体" w:hAnsi="宋体" w:eastAsia="宋体" w:cs="宋体"/>
          <w:b w:val="0"/>
          <w:bCs w:val="0"/>
          <w:kern w:val="0"/>
          <w:sz w:val="21"/>
          <w:szCs w:val="21"/>
          <w:lang w:eastAsia="zh-CN"/>
        </w:rPr>
        <w:t>单位</w:t>
      </w:r>
      <w:r>
        <w:rPr>
          <w:rFonts w:hint="eastAsia" w:ascii="宋体" w:hAnsi="宋体" w:eastAsia="宋体" w:cs="宋体"/>
          <w:b w:val="0"/>
          <w:bCs w:val="0"/>
          <w:kern w:val="0"/>
          <w:sz w:val="21"/>
          <w:szCs w:val="21"/>
        </w:rPr>
        <w:t>应进行充分了解并做好协调与衔接工作。</w:t>
      </w:r>
    </w:p>
    <w:p w14:paraId="4F8B9A2A">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1"/>
          <w:szCs w:val="21"/>
          <w:lang w:val="zh-TW" w:eastAsia="zh-CN"/>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lang w:val="en-US" w:eastAsia="zh-CN"/>
        </w:rPr>
        <w:t>5</w:t>
      </w: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中标</w:t>
      </w:r>
      <w:r>
        <w:rPr>
          <w:rFonts w:hint="eastAsia" w:ascii="宋体" w:hAnsi="宋体" w:eastAsia="宋体" w:cs="宋体"/>
          <w:b w:val="0"/>
          <w:bCs w:val="0"/>
          <w:kern w:val="0"/>
          <w:sz w:val="21"/>
          <w:szCs w:val="21"/>
          <w:lang w:eastAsia="zh-CN"/>
        </w:rPr>
        <w:t>单位</w:t>
      </w:r>
      <w:r>
        <w:rPr>
          <w:rFonts w:hint="eastAsia" w:ascii="宋体" w:hAnsi="宋体" w:eastAsia="宋体" w:cs="宋体"/>
          <w:b w:val="0"/>
          <w:bCs w:val="0"/>
          <w:kern w:val="0"/>
          <w:sz w:val="21"/>
          <w:szCs w:val="21"/>
        </w:rPr>
        <w:t>需要对本项目的知识产权负责，确保不会出现抄袭、侵权等行为</w:t>
      </w:r>
      <w:r>
        <w:rPr>
          <w:rFonts w:hint="eastAsia" w:ascii="宋体" w:hAnsi="宋体" w:eastAsia="宋体" w:cs="宋体"/>
          <w:b w:val="0"/>
          <w:bCs w:val="0"/>
          <w:kern w:val="0"/>
          <w:sz w:val="21"/>
          <w:szCs w:val="21"/>
          <w:lang w:eastAsia="zh-CN"/>
        </w:rPr>
        <w:t>。</w:t>
      </w:r>
    </w:p>
    <w:p w14:paraId="53E8A18B">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lang w:val="en-US" w:eastAsia="zh-CN"/>
        </w:rPr>
        <w:t>6</w:t>
      </w: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中标</w:t>
      </w:r>
      <w:r>
        <w:rPr>
          <w:rFonts w:hint="eastAsia" w:ascii="宋体" w:hAnsi="宋体" w:eastAsia="宋体" w:cs="宋体"/>
          <w:b w:val="0"/>
          <w:bCs w:val="0"/>
          <w:kern w:val="0"/>
          <w:sz w:val="21"/>
          <w:szCs w:val="21"/>
          <w:lang w:eastAsia="zh-CN"/>
        </w:rPr>
        <w:t>单位</w:t>
      </w:r>
      <w:r>
        <w:rPr>
          <w:rFonts w:hint="eastAsia" w:ascii="宋体" w:hAnsi="宋体" w:eastAsia="宋体" w:cs="宋体"/>
          <w:b w:val="0"/>
          <w:bCs w:val="0"/>
          <w:kern w:val="0"/>
          <w:sz w:val="21"/>
          <w:szCs w:val="21"/>
        </w:rPr>
        <w:t>需对合同履行期间的一切行为负责，期间发生的一切安全事故责任、其它人身损害及因此发生的人身损害赔偿和其他费用由中标</w:t>
      </w:r>
      <w:r>
        <w:rPr>
          <w:rFonts w:hint="eastAsia" w:ascii="宋体" w:hAnsi="宋体" w:eastAsia="宋体" w:cs="宋体"/>
          <w:b w:val="0"/>
          <w:bCs w:val="0"/>
          <w:kern w:val="0"/>
          <w:sz w:val="21"/>
          <w:szCs w:val="21"/>
          <w:lang w:eastAsia="zh-CN"/>
        </w:rPr>
        <w:t>单位</w:t>
      </w:r>
      <w:r>
        <w:rPr>
          <w:rFonts w:hint="eastAsia" w:ascii="宋体" w:hAnsi="宋体" w:eastAsia="宋体" w:cs="宋体"/>
          <w:b w:val="0"/>
          <w:bCs w:val="0"/>
          <w:kern w:val="0"/>
          <w:sz w:val="21"/>
          <w:szCs w:val="21"/>
        </w:rPr>
        <w:t>自行承担。</w:t>
      </w:r>
    </w:p>
    <w:p w14:paraId="52280977">
      <w:pPr>
        <w:keepNext w:val="0"/>
        <w:keepLines w:val="0"/>
        <w:pageBreakBefore w:val="0"/>
        <w:widowControl w:val="0"/>
        <w:kinsoku/>
        <w:wordWrap/>
        <w:overflowPunct/>
        <w:topLinePunct w:val="0"/>
        <w:autoSpaceDE/>
        <w:autoSpaceDN/>
        <w:bidi w:val="0"/>
        <w:spacing w:line="360" w:lineRule="auto"/>
        <w:ind w:left="0" w:firstLine="420" w:firstLineChars="200"/>
        <w:jc w:val="left"/>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lang w:val="en-US" w:eastAsia="zh-CN"/>
        </w:rPr>
        <w:t>7</w:t>
      </w: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为保证</w:t>
      </w:r>
      <w:r>
        <w:rPr>
          <w:rFonts w:hint="eastAsia" w:ascii="宋体" w:hAnsi="宋体" w:eastAsia="宋体" w:cs="宋体"/>
          <w:b w:val="0"/>
          <w:bCs w:val="0"/>
          <w:kern w:val="0"/>
          <w:sz w:val="21"/>
          <w:szCs w:val="21"/>
          <w:lang w:eastAsia="zh-CN"/>
        </w:rPr>
        <w:t>光影作品及活动组织</w:t>
      </w:r>
      <w:r>
        <w:rPr>
          <w:rFonts w:hint="eastAsia" w:ascii="宋体" w:hAnsi="宋体" w:eastAsia="宋体" w:cs="宋体"/>
          <w:b w:val="0"/>
          <w:bCs w:val="0"/>
          <w:kern w:val="0"/>
          <w:sz w:val="21"/>
          <w:szCs w:val="21"/>
        </w:rPr>
        <w:t>成果质量，中标</w:t>
      </w:r>
      <w:r>
        <w:rPr>
          <w:rFonts w:hint="eastAsia" w:ascii="宋体" w:hAnsi="宋体" w:eastAsia="宋体" w:cs="宋体"/>
          <w:b w:val="0"/>
          <w:bCs w:val="0"/>
          <w:kern w:val="0"/>
          <w:sz w:val="21"/>
          <w:szCs w:val="21"/>
          <w:lang w:eastAsia="zh-CN"/>
        </w:rPr>
        <w:t>单位</w:t>
      </w:r>
      <w:r>
        <w:rPr>
          <w:rFonts w:hint="eastAsia" w:ascii="宋体" w:hAnsi="宋体" w:eastAsia="宋体" w:cs="宋体"/>
          <w:b w:val="0"/>
          <w:bCs w:val="0"/>
          <w:kern w:val="0"/>
          <w:sz w:val="21"/>
          <w:szCs w:val="21"/>
        </w:rPr>
        <w:t>在合同履行期间，应按照服务内容要求成立专门的项目小组，并保障项目团队成员到位。中标</w:t>
      </w:r>
      <w:r>
        <w:rPr>
          <w:rFonts w:hint="eastAsia" w:ascii="宋体" w:hAnsi="宋体" w:eastAsia="宋体" w:cs="宋体"/>
          <w:b w:val="0"/>
          <w:bCs w:val="0"/>
          <w:kern w:val="0"/>
          <w:sz w:val="21"/>
          <w:szCs w:val="21"/>
          <w:lang w:eastAsia="zh-CN"/>
        </w:rPr>
        <w:t>单位</w:t>
      </w:r>
      <w:r>
        <w:rPr>
          <w:rFonts w:hint="eastAsia" w:ascii="宋体" w:hAnsi="宋体" w:eastAsia="宋体" w:cs="宋体"/>
          <w:b w:val="0"/>
          <w:bCs w:val="0"/>
          <w:kern w:val="0"/>
          <w:sz w:val="21"/>
          <w:szCs w:val="21"/>
        </w:rPr>
        <w:t>应保证本合同的主要核心成员在项目实施期间全程参与项目实质性工作。</w:t>
      </w:r>
    </w:p>
    <w:p w14:paraId="5AFC501F">
      <w:pPr>
        <w:keepNext w:val="0"/>
        <w:keepLines w:val="0"/>
        <w:pageBreakBefore w:val="0"/>
        <w:widowControl w:val="0"/>
        <w:kinsoku/>
        <w:overflowPunct/>
        <w:topLinePunct w:val="0"/>
        <w:autoSpaceDE/>
        <w:autoSpaceDN/>
        <w:bidi w:val="0"/>
        <w:adjustRightInd w:val="0"/>
        <w:spacing w:line="360" w:lineRule="auto"/>
        <w:jc w:val="center"/>
        <w:textAlignment w:val="baseline"/>
        <w:outlineLvl w:val="1"/>
        <w:rPr>
          <w:rFonts w:hint="eastAsia" w:ascii="宋体" w:hAnsi="宋体" w:eastAsia="宋体" w:cs="宋体"/>
          <w:b/>
          <w:bCs/>
          <w:kern w:val="0"/>
          <w:sz w:val="28"/>
          <w:szCs w:val="28"/>
        </w:rPr>
      </w:pPr>
    </w:p>
    <w:p w14:paraId="2E7CE8D8">
      <w:pPr>
        <w:rPr>
          <w:rFonts w:hint="eastAsia" w:ascii="宋体" w:hAnsi="宋体" w:eastAsia="宋体" w:cs="宋体"/>
          <w:b/>
          <w:bCs/>
          <w:kern w:val="0"/>
          <w:sz w:val="28"/>
          <w:szCs w:val="28"/>
        </w:rPr>
      </w:pPr>
      <w:r>
        <w:rPr>
          <w:rFonts w:hint="eastAsia" w:ascii="宋体" w:hAnsi="宋体" w:eastAsia="宋体" w:cs="宋体"/>
          <w:b/>
          <w:bCs/>
          <w:kern w:val="0"/>
          <w:sz w:val="28"/>
          <w:szCs w:val="28"/>
        </w:rPr>
        <w:br w:type="page"/>
      </w:r>
    </w:p>
    <w:p w14:paraId="47729590">
      <w:pPr>
        <w:keepNext w:val="0"/>
        <w:keepLines w:val="0"/>
        <w:pageBreakBefore w:val="0"/>
        <w:widowControl w:val="0"/>
        <w:kinsoku/>
        <w:overflowPunct/>
        <w:topLinePunct w:val="0"/>
        <w:autoSpaceDE/>
        <w:autoSpaceDN/>
        <w:bidi w:val="0"/>
        <w:adjustRightInd w:val="0"/>
        <w:spacing w:line="360" w:lineRule="auto"/>
        <w:jc w:val="center"/>
        <w:textAlignment w:val="baseline"/>
        <w:outlineLvl w:val="1"/>
        <w:rPr>
          <w:rFonts w:hint="eastAsia" w:ascii="宋体" w:hAnsi="宋体" w:eastAsia="宋体" w:cs="宋体"/>
          <w:b w:val="0"/>
          <w:bCs w:val="0"/>
          <w:kern w:val="0"/>
          <w:sz w:val="28"/>
          <w:szCs w:val="28"/>
        </w:rPr>
      </w:pPr>
      <w:bookmarkStart w:id="84" w:name="_GoBack"/>
      <w:bookmarkEnd w:id="84"/>
      <w:r>
        <w:rPr>
          <w:rFonts w:hint="eastAsia" w:ascii="宋体" w:hAnsi="宋体" w:eastAsia="宋体" w:cs="宋体"/>
          <w:b/>
          <w:bCs/>
          <w:kern w:val="0"/>
          <w:sz w:val="28"/>
          <w:szCs w:val="28"/>
        </w:rPr>
        <w:t>五、项目商务要求</w:t>
      </w:r>
    </w:p>
    <w:p w14:paraId="7FA1E4DC">
      <w:pPr>
        <w:keepNext w:val="0"/>
        <w:keepLines w:val="0"/>
        <w:pageBreakBefore w:val="0"/>
        <w:widowControl w:val="0"/>
        <w:kinsoku/>
        <w:overflowPunct/>
        <w:topLinePunct w:val="0"/>
        <w:autoSpaceDE/>
        <w:autoSpaceDN/>
        <w:bidi w:val="0"/>
        <w:spacing w:line="360" w:lineRule="auto"/>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★（一）服务期限：</w:t>
      </w:r>
    </w:p>
    <w:p w14:paraId="457B20AE">
      <w:pPr>
        <w:keepNext w:val="0"/>
        <w:keepLines w:val="0"/>
        <w:pageBreakBefore w:val="0"/>
        <w:widowControl w:val="0"/>
        <w:kinsoku/>
        <w:overflowPunct/>
        <w:topLinePunct w:val="0"/>
        <w:autoSpaceDE/>
        <w:autoSpaceDN/>
        <w:bidi w:val="0"/>
        <w:spacing w:line="360" w:lineRule="auto"/>
        <w:ind w:firstLine="422" w:firstLineChars="20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yellow"/>
        </w:rPr>
        <w:t>自合同签订之日起</w:t>
      </w:r>
      <w:r>
        <w:rPr>
          <w:rFonts w:hint="eastAsia" w:ascii="宋体" w:hAnsi="宋体" w:eastAsia="宋体" w:cs="宋体"/>
          <w:b/>
          <w:bCs/>
          <w:sz w:val="21"/>
          <w:szCs w:val="21"/>
          <w:highlight w:val="yellow"/>
          <w:lang w:eastAsia="zh-CN"/>
        </w:rPr>
        <w:t>至</w:t>
      </w:r>
      <w:r>
        <w:rPr>
          <w:rFonts w:hint="eastAsia" w:ascii="宋体" w:hAnsi="宋体" w:eastAsia="宋体" w:cs="宋体"/>
          <w:b/>
          <w:bCs/>
          <w:sz w:val="21"/>
          <w:szCs w:val="21"/>
          <w:highlight w:val="yellow"/>
        </w:rPr>
        <w:t>202</w:t>
      </w:r>
      <w:r>
        <w:rPr>
          <w:rFonts w:hint="eastAsia" w:ascii="宋体" w:hAnsi="宋体" w:eastAsia="宋体" w:cs="宋体"/>
          <w:b/>
          <w:bCs/>
          <w:sz w:val="21"/>
          <w:szCs w:val="21"/>
          <w:highlight w:val="yellow"/>
          <w:lang w:val="en-US" w:eastAsia="zh-CN"/>
        </w:rPr>
        <w:t>5</w:t>
      </w:r>
      <w:r>
        <w:rPr>
          <w:rFonts w:hint="eastAsia" w:ascii="宋体" w:hAnsi="宋体" w:eastAsia="宋体" w:cs="宋体"/>
          <w:b/>
          <w:bCs/>
          <w:sz w:val="21"/>
          <w:szCs w:val="21"/>
          <w:highlight w:val="yellow"/>
        </w:rPr>
        <w:t>年</w:t>
      </w:r>
      <w:r>
        <w:rPr>
          <w:rFonts w:hint="eastAsia" w:ascii="宋体" w:hAnsi="宋体" w:eastAsia="宋体" w:cs="宋体"/>
          <w:b/>
          <w:bCs/>
          <w:sz w:val="21"/>
          <w:szCs w:val="21"/>
          <w:highlight w:val="yellow"/>
          <w:lang w:val="en-US" w:eastAsia="zh-CN"/>
        </w:rPr>
        <w:t>3</w:t>
      </w:r>
      <w:r>
        <w:rPr>
          <w:rFonts w:hint="eastAsia" w:ascii="宋体" w:hAnsi="宋体" w:eastAsia="宋体" w:cs="宋体"/>
          <w:b/>
          <w:bCs/>
          <w:sz w:val="21"/>
          <w:szCs w:val="21"/>
          <w:highlight w:val="yellow"/>
        </w:rPr>
        <w:t>月</w:t>
      </w:r>
      <w:r>
        <w:rPr>
          <w:rFonts w:hint="eastAsia" w:ascii="宋体" w:hAnsi="宋体" w:eastAsia="宋体" w:cs="宋体"/>
          <w:b/>
          <w:bCs/>
          <w:sz w:val="21"/>
          <w:szCs w:val="21"/>
          <w:highlight w:val="yellow"/>
          <w:lang w:val="en-US" w:eastAsia="zh-CN"/>
        </w:rPr>
        <w:t>2</w:t>
      </w:r>
      <w:r>
        <w:rPr>
          <w:rFonts w:hint="eastAsia" w:ascii="宋体" w:hAnsi="宋体" w:eastAsia="宋体" w:cs="宋体"/>
          <w:b/>
          <w:bCs/>
          <w:sz w:val="21"/>
          <w:szCs w:val="21"/>
          <w:highlight w:val="yellow"/>
        </w:rPr>
        <w:t>日</w:t>
      </w:r>
      <w:r>
        <w:rPr>
          <w:rFonts w:hint="eastAsia" w:ascii="宋体" w:hAnsi="宋体" w:eastAsia="宋体" w:cs="宋体"/>
          <w:b/>
          <w:bCs/>
          <w:sz w:val="21"/>
          <w:szCs w:val="21"/>
          <w:highlight w:val="yellow"/>
          <w:lang w:eastAsia="zh-CN"/>
        </w:rPr>
        <w:t>履行完毕。</w:t>
      </w:r>
    </w:p>
    <w:p w14:paraId="3D2D1661">
      <w:pPr>
        <w:keepNext w:val="0"/>
        <w:keepLines w:val="0"/>
        <w:pageBreakBefore w:val="0"/>
        <w:widowControl w:val="0"/>
        <w:kinsoku/>
        <w:overflowPunct/>
        <w:topLinePunct w:val="0"/>
        <w:autoSpaceDE/>
        <w:autoSpaceDN/>
        <w:bidi w:val="0"/>
        <w:spacing w:line="360" w:lineRule="auto"/>
        <w:rPr>
          <w:rFonts w:hint="eastAsia" w:ascii="宋体" w:hAnsi="宋体" w:eastAsia="宋体" w:cs="宋体"/>
          <w:b w:val="0"/>
          <w:bCs w:val="0"/>
          <w:sz w:val="21"/>
          <w:szCs w:val="21"/>
        </w:rPr>
      </w:pPr>
      <w:r>
        <w:rPr>
          <w:rFonts w:hint="eastAsia" w:ascii="宋体" w:hAnsi="宋体" w:eastAsia="宋体" w:cs="宋体"/>
          <w:b/>
          <w:bCs/>
          <w:color w:val="auto"/>
          <w:sz w:val="21"/>
          <w:szCs w:val="21"/>
        </w:rPr>
        <w:t>（二）服务地点：</w:t>
      </w:r>
      <w:r>
        <w:rPr>
          <w:rFonts w:hint="eastAsia" w:ascii="宋体" w:hAnsi="宋体" w:eastAsia="宋体" w:cs="宋体"/>
          <w:b w:val="0"/>
          <w:bCs w:val="0"/>
          <w:sz w:val="21"/>
          <w:szCs w:val="21"/>
        </w:rPr>
        <w:t>深圳市。</w:t>
      </w:r>
    </w:p>
    <w:p w14:paraId="10C6E937">
      <w:pPr>
        <w:keepNext w:val="0"/>
        <w:keepLines w:val="0"/>
        <w:pageBreakBefore w:val="0"/>
        <w:widowControl w:val="0"/>
        <w:kinsoku/>
        <w:overflowPunct/>
        <w:topLinePunct w:val="0"/>
        <w:autoSpaceDE/>
        <w:autoSpaceDN/>
        <w:bidi w:val="0"/>
        <w:spacing w:line="360" w:lineRule="auto"/>
        <w:rPr>
          <w:rFonts w:hint="eastAsia" w:ascii="宋体" w:hAnsi="宋体" w:eastAsia="宋体" w:cs="宋体"/>
          <w:b w:val="0"/>
          <w:bCs w:val="0"/>
          <w:sz w:val="21"/>
          <w:szCs w:val="21"/>
        </w:rPr>
      </w:pPr>
      <w:r>
        <w:rPr>
          <w:rFonts w:hint="eastAsia" w:ascii="宋体" w:hAnsi="宋体" w:eastAsia="宋体" w:cs="宋体"/>
          <w:b/>
          <w:bCs/>
          <w:sz w:val="21"/>
          <w:szCs w:val="21"/>
        </w:rPr>
        <w:t>（三）报价要求：</w:t>
      </w:r>
    </w:p>
    <w:p w14:paraId="7E60CC91">
      <w:pPr>
        <w:keepNext w:val="0"/>
        <w:keepLines w:val="0"/>
        <w:pageBreakBefore w:val="0"/>
        <w:widowControl w:val="0"/>
        <w:kinsoku/>
        <w:overflowPunct/>
        <w:topLinePunct w:val="0"/>
        <w:autoSpaceDE/>
        <w:autoSpaceDN/>
        <w:bidi w:val="0"/>
        <w:spacing w:line="360" w:lineRule="auto"/>
        <w:ind w:firstLine="420" w:firstLineChars="200"/>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投标人报价应按人民币报价，</w:t>
      </w:r>
      <w:r>
        <w:rPr>
          <w:rFonts w:hint="eastAsia" w:ascii="宋体" w:hAnsi="宋体" w:eastAsia="宋体" w:cs="宋体"/>
          <w:b w:val="0"/>
          <w:bCs w:val="0"/>
          <w:sz w:val="21"/>
          <w:szCs w:val="21"/>
          <w:lang w:eastAsia="zh-CN"/>
        </w:rPr>
        <w:t>采用包干制，</w:t>
      </w:r>
      <w:r>
        <w:rPr>
          <w:rFonts w:hint="eastAsia" w:ascii="宋体" w:hAnsi="宋体" w:eastAsia="宋体" w:cs="宋体"/>
          <w:b w:val="0"/>
          <w:bCs w:val="0"/>
          <w:sz w:val="21"/>
          <w:szCs w:val="21"/>
        </w:rPr>
        <w:t>包括但不限于</w:t>
      </w:r>
      <w:r>
        <w:rPr>
          <w:rFonts w:hint="eastAsia" w:ascii="宋体" w:hAnsi="宋体" w:eastAsia="宋体" w:cs="宋体"/>
          <w:b w:val="0"/>
          <w:bCs w:val="0"/>
          <w:sz w:val="21"/>
          <w:szCs w:val="21"/>
          <w:lang w:eastAsia="zh-CN"/>
        </w:rPr>
        <w:t>策划费、</w:t>
      </w:r>
      <w:r>
        <w:rPr>
          <w:rFonts w:hint="eastAsia" w:ascii="宋体" w:hAnsi="宋体" w:eastAsia="宋体" w:cs="宋体"/>
          <w:b w:val="0"/>
          <w:bCs w:val="0"/>
          <w:kern w:val="2"/>
          <w:sz w:val="21"/>
          <w:szCs w:val="21"/>
        </w:rPr>
        <w:t>设计费、制作费、落地费、运维费、拆除费、</w:t>
      </w:r>
      <w:r>
        <w:rPr>
          <w:rFonts w:hint="eastAsia" w:ascii="宋体" w:hAnsi="宋体" w:eastAsia="宋体" w:cs="宋体"/>
          <w:b w:val="0"/>
          <w:bCs w:val="0"/>
          <w:kern w:val="2"/>
          <w:sz w:val="21"/>
          <w:szCs w:val="21"/>
          <w:lang w:eastAsia="zh-CN"/>
        </w:rPr>
        <w:t>活动组织费、</w:t>
      </w:r>
      <w:r>
        <w:rPr>
          <w:rFonts w:hint="eastAsia" w:ascii="宋体" w:hAnsi="宋体" w:eastAsia="宋体" w:cs="宋体"/>
          <w:b w:val="0"/>
          <w:bCs w:val="0"/>
          <w:kern w:val="2"/>
          <w:sz w:val="21"/>
          <w:szCs w:val="21"/>
        </w:rPr>
        <w:t>宣传费、人工费、材料费、运费、交通费、安全措施费、保险费、规费、税费、利润等一切费用</w:t>
      </w:r>
      <w:r>
        <w:rPr>
          <w:rFonts w:hint="eastAsia" w:ascii="宋体" w:hAnsi="宋体" w:eastAsia="宋体" w:cs="宋体"/>
          <w:b w:val="0"/>
          <w:bCs w:val="0"/>
          <w:sz w:val="21"/>
          <w:szCs w:val="21"/>
        </w:rPr>
        <w:t>与完成本项目服务工作有关的全部费用。</w:t>
      </w:r>
      <w:r>
        <w:rPr>
          <w:rFonts w:hint="eastAsia" w:ascii="宋体" w:hAnsi="宋体" w:eastAsia="宋体" w:cs="宋体"/>
          <w:b w:val="0"/>
          <w:bCs w:val="0"/>
          <w:sz w:val="21"/>
          <w:szCs w:val="21"/>
          <w:lang w:eastAsia="zh-CN"/>
        </w:rPr>
        <w:t>投标单位需充分考虑项目实施的难度、复杂程度，综合各项成本后需按以下格式进行</w:t>
      </w:r>
      <w:r>
        <w:rPr>
          <w:rFonts w:hint="eastAsia" w:ascii="宋体" w:hAnsi="宋体" w:eastAsia="宋体" w:cs="宋体"/>
          <w:b w:val="0"/>
          <w:bCs w:val="0"/>
          <w:sz w:val="21"/>
          <w:szCs w:val="21"/>
          <w:lang w:val="en-US" w:eastAsia="zh-CN"/>
        </w:rPr>
        <w:t>分项</w:t>
      </w:r>
      <w:r>
        <w:rPr>
          <w:rFonts w:hint="eastAsia" w:ascii="宋体" w:hAnsi="宋体" w:eastAsia="宋体" w:cs="宋体"/>
          <w:b w:val="0"/>
          <w:bCs w:val="0"/>
          <w:sz w:val="21"/>
          <w:szCs w:val="21"/>
          <w:lang w:eastAsia="zh-CN"/>
        </w:rPr>
        <w:t>报价，分项报价金额不得超过分项限额：</w:t>
      </w:r>
    </w:p>
    <w:p w14:paraId="3328A72A">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bCs/>
          <w:sz w:val="21"/>
          <w:szCs w:val="21"/>
        </w:rPr>
        <w:t>项目</w:t>
      </w:r>
      <w:r>
        <w:rPr>
          <w:rFonts w:hint="eastAsia" w:ascii="宋体" w:hAnsi="宋体" w:cs="宋体"/>
          <w:b/>
          <w:bCs/>
          <w:sz w:val="21"/>
          <w:szCs w:val="21"/>
          <w:lang w:val="en-US" w:eastAsia="zh-CN"/>
        </w:rPr>
        <w:t>分项</w:t>
      </w:r>
      <w:r>
        <w:rPr>
          <w:rFonts w:hint="eastAsia" w:ascii="宋体" w:hAnsi="宋体" w:eastAsia="宋体" w:cs="宋体"/>
          <w:b/>
          <w:bCs/>
          <w:sz w:val="21"/>
          <w:szCs w:val="21"/>
        </w:rPr>
        <w:t>报价表</w:t>
      </w:r>
    </w:p>
    <w:tbl>
      <w:tblPr>
        <w:tblStyle w:val="42"/>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15"/>
        <w:gridCol w:w="3015"/>
        <w:gridCol w:w="660"/>
        <w:gridCol w:w="660"/>
        <w:gridCol w:w="1476"/>
        <w:gridCol w:w="1476"/>
      </w:tblGrid>
      <w:tr w14:paraId="552E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0A7DAD14">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1515" w:type="dxa"/>
            <w:noWrap/>
            <w:vAlign w:val="center"/>
          </w:tcPr>
          <w:p w14:paraId="51342FBB">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分项名称</w:t>
            </w:r>
          </w:p>
        </w:tc>
        <w:tc>
          <w:tcPr>
            <w:tcW w:w="3015" w:type="dxa"/>
            <w:noWrap/>
            <w:vAlign w:val="center"/>
          </w:tcPr>
          <w:p w14:paraId="7BAF428A">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简要描述</w:t>
            </w:r>
          </w:p>
        </w:tc>
        <w:tc>
          <w:tcPr>
            <w:tcW w:w="660" w:type="dxa"/>
            <w:noWrap/>
            <w:vAlign w:val="center"/>
          </w:tcPr>
          <w:p w14:paraId="79B8749E">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数量</w:t>
            </w:r>
          </w:p>
        </w:tc>
        <w:tc>
          <w:tcPr>
            <w:tcW w:w="660" w:type="dxa"/>
            <w:noWrap/>
            <w:vAlign w:val="center"/>
          </w:tcPr>
          <w:p w14:paraId="0EA03FBD">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单位</w:t>
            </w:r>
          </w:p>
        </w:tc>
        <w:tc>
          <w:tcPr>
            <w:tcW w:w="1476" w:type="dxa"/>
            <w:noWrap/>
            <w:vAlign w:val="center"/>
          </w:tcPr>
          <w:p w14:paraId="382772BF">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分项报价</w:t>
            </w:r>
          </w:p>
          <w:p w14:paraId="1BA6E458">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w:t>
            </w:r>
            <w:r>
              <w:rPr>
                <w:rFonts w:hint="eastAsia" w:ascii="宋体" w:hAnsi="宋体" w:cs="宋体"/>
                <w:b w:val="0"/>
                <w:bCs w:val="0"/>
                <w:sz w:val="21"/>
                <w:szCs w:val="21"/>
                <w:lang w:val="en-US" w:eastAsia="zh-CN"/>
              </w:rPr>
              <w:t>人民币</w:t>
            </w:r>
            <w:r>
              <w:rPr>
                <w:rFonts w:hint="eastAsia" w:ascii="宋体" w:hAnsi="宋体" w:eastAsia="宋体" w:cs="宋体"/>
                <w:b w:val="0"/>
                <w:bCs w:val="0"/>
                <w:sz w:val="21"/>
                <w:szCs w:val="21"/>
              </w:rPr>
              <w:t>元）</w:t>
            </w:r>
          </w:p>
        </w:tc>
        <w:tc>
          <w:tcPr>
            <w:tcW w:w="1476" w:type="dxa"/>
            <w:noWrap/>
            <w:vAlign w:val="center"/>
          </w:tcPr>
          <w:p w14:paraId="6264F5AA">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分项限额</w:t>
            </w:r>
          </w:p>
          <w:p w14:paraId="0589962D">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w:t>
            </w:r>
            <w:r>
              <w:rPr>
                <w:rFonts w:hint="eastAsia" w:ascii="宋体" w:hAnsi="宋体" w:cs="宋体"/>
                <w:b w:val="0"/>
                <w:bCs w:val="0"/>
                <w:sz w:val="21"/>
                <w:szCs w:val="21"/>
                <w:lang w:val="en-US" w:eastAsia="zh-CN"/>
              </w:rPr>
              <w:t>人民币</w:t>
            </w:r>
            <w:r>
              <w:rPr>
                <w:rFonts w:hint="eastAsia" w:ascii="宋体" w:hAnsi="宋体" w:eastAsia="宋体" w:cs="宋体"/>
                <w:b w:val="0"/>
                <w:bCs w:val="0"/>
                <w:sz w:val="21"/>
                <w:szCs w:val="21"/>
              </w:rPr>
              <w:t>元）</w:t>
            </w:r>
          </w:p>
        </w:tc>
      </w:tr>
      <w:tr w14:paraId="6273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71" w:type="dxa"/>
            <w:noWrap/>
            <w:vAlign w:val="center"/>
          </w:tcPr>
          <w:p w14:paraId="512B04E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15" w:type="dxa"/>
            <w:noWrap/>
            <w:vAlign w:val="center"/>
          </w:tcPr>
          <w:p w14:paraId="460F3FDB">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策划服务</w:t>
            </w:r>
          </w:p>
        </w:tc>
        <w:tc>
          <w:tcPr>
            <w:tcW w:w="3015" w:type="dxa"/>
            <w:noWrap/>
            <w:vAlign w:val="center"/>
          </w:tcPr>
          <w:p w14:paraId="5415F114">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编制策划方案并提供相关服务</w:t>
            </w:r>
          </w:p>
        </w:tc>
        <w:tc>
          <w:tcPr>
            <w:tcW w:w="660" w:type="dxa"/>
            <w:noWrap/>
            <w:vAlign w:val="center"/>
          </w:tcPr>
          <w:p w14:paraId="26D48F6E">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60" w:type="dxa"/>
            <w:noWrap/>
            <w:vAlign w:val="center"/>
          </w:tcPr>
          <w:p w14:paraId="6DE27EF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项</w:t>
            </w:r>
          </w:p>
        </w:tc>
        <w:tc>
          <w:tcPr>
            <w:tcW w:w="1476" w:type="dxa"/>
            <w:noWrap/>
            <w:vAlign w:val="center"/>
          </w:tcPr>
          <w:p w14:paraId="260D800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4D07AD8A">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eastAsia" w:ascii="宋体" w:hAnsi="宋体" w:cs="宋体"/>
                <w:b w:val="0"/>
                <w:bCs w:val="0"/>
                <w:sz w:val="21"/>
                <w:szCs w:val="21"/>
                <w:lang w:val="en-US" w:eastAsia="zh-CN"/>
              </w:rPr>
              <w:t>40,000.00</w:t>
            </w:r>
          </w:p>
        </w:tc>
      </w:tr>
      <w:tr w14:paraId="6031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1C780F52">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15" w:type="dxa"/>
            <w:noWrap/>
            <w:vAlign w:val="center"/>
          </w:tcPr>
          <w:p w14:paraId="1EBB99A7">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default" w:ascii="宋体" w:hAnsi="宋体" w:cs="宋体"/>
                <w:b w:val="0"/>
                <w:bCs w:val="0"/>
                <w:sz w:val="21"/>
                <w:szCs w:val="21"/>
                <w:lang w:val="en-US" w:eastAsia="zh-CN"/>
              </w:rPr>
              <w:t>旋</w:t>
            </w:r>
            <w:r>
              <w:rPr>
                <w:rFonts w:hint="eastAsia" w:ascii="宋体" w:hAnsi="宋体" w:eastAsia="宋体" w:cs="宋体"/>
                <w:b w:val="0"/>
                <w:bCs w:val="0"/>
                <w:sz w:val="21"/>
                <w:szCs w:val="21"/>
                <w:lang w:val="en-US" w:eastAsia="zh-CN"/>
              </w:rPr>
              <w:t>栖</w:t>
            </w:r>
          </w:p>
        </w:tc>
        <w:tc>
          <w:tcPr>
            <w:tcW w:w="3015" w:type="dxa"/>
            <w:vMerge w:val="restart"/>
            <w:noWrap/>
            <w:vAlign w:val="center"/>
          </w:tcPr>
          <w:p w14:paraId="2CC569A7">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负责光影作品设计制作运输布置拆除等相关服务</w:t>
            </w:r>
          </w:p>
        </w:tc>
        <w:tc>
          <w:tcPr>
            <w:tcW w:w="660" w:type="dxa"/>
            <w:noWrap/>
            <w:vAlign w:val="center"/>
          </w:tcPr>
          <w:p w14:paraId="572E18E1">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1</w:t>
            </w:r>
          </w:p>
        </w:tc>
        <w:tc>
          <w:tcPr>
            <w:tcW w:w="660" w:type="dxa"/>
            <w:noWrap/>
            <w:vAlign w:val="center"/>
          </w:tcPr>
          <w:p w14:paraId="6D92765E">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组</w:t>
            </w:r>
          </w:p>
        </w:tc>
        <w:tc>
          <w:tcPr>
            <w:tcW w:w="1476" w:type="dxa"/>
            <w:noWrap/>
            <w:vAlign w:val="center"/>
          </w:tcPr>
          <w:p w14:paraId="45D923F4">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1D3A1FB1">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kern w:val="2"/>
                <w:sz w:val="21"/>
                <w:szCs w:val="21"/>
                <w:lang w:val="en-US" w:eastAsia="zh-CN" w:bidi="ar-SA"/>
              </w:rPr>
            </w:pPr>
            <w:r>
              <w:rPr>
                <w:rFonts w:hint="default" w:ascii="宋体" w:hAnsi="宋体" w:cs="宋体"/>
                <w:b w:val="0"/>
                <w:bCs w:val="0"/>
                <w:sz w:val="21"/>
                <w:szCs w:val="21"/>
                <w:lang w:val="en-US" w:eastAsia="zh-CN"/>
              </w:rPr>
              <w:t>59</w:t>
            </w:r>
            <w:r>
              <w:rPr>
                <w:rFonts w:hint="eastAsia" w:ascii="宋体" w:hAnsi="宋体" w:cs="宋体"/>
                <w:b w:val="0"/>
                <w:bCs w:val="0"/>
                <w:sz w:val="21"/>
                <w:szCs w:val="21"/>
                <w:lang w:val="en-US" w:eastAsia="zh-CN"/>
              </w:rPr>
              <w:t>0,000.00</w:t>
            </w:r>
          </w:p>
        </w:tc>
      </w:tr>
      <w:tr w14:paraId="13E9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1CCF7B1D">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p>
        </w:tc>
        <w:tc>
          <w:tcPr>
            <w:tcW w:w="1515" w:type="dxa"/>
            <w:noWrap/>
            <w:vAlign w:val="center"/>
          </w:tcPr>
          <w:p w14:paraId="2668FE7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BOB</w:t>
            </w:r>
          </w:p>
        </w:tc>
        <w:tc>
          <w:tcPr>
            <w:tcW w:w="3015" w:type="dxa"/>
            <w:vMerge w:val="continue"/>
            <w:noWrap/>
            <w:vAlign w:val="center"/>
          </w:tcPr>
          <w:p w14:paraId="208B09C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660" w:type="dxa"/>
            <w:noWrap/>
            <w:vAlign w:val="center"/>
          </w:tcPr>
          <w:p w14:paraId="632572F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1</w:t>
            </w:r>
          </w:p>
        </w:tc>
        <w:tc>
          <w:tcPr>
            <w:tcW w:w="660" w:type="dxa"/>
            <w:noWrap/>
            <w:vAlign w:val="center"/>
          </w:tcPr>
          <w:p w14:paraId="3D292BF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组</w:t>
            </w:r>
          </w:p>
        </w:tc>
        <w:tc>
          <w:tcPr>
            <w:tcW w:w="1476" w:type="dxa"/>
            <w:noWrap/>
            <w:vAlign w:val="center"/>
          </w:tcPr>
          <w:p w14:paraId="52C0849E">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7D76E06C">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kern w:val="2"/>
                <w:sz w:val="21"/>
                <w:szCs w:val="21"/>
                <w:lang w:val="en-US" w:eastAsia="zh-CN" w:bidi="ar-SA"/>
              </w:rPr>
            </w:pPr>
            <w:r>
              <w:rPr>
                <w:rFonts w:hint="default" w:ascii="宋体" w:hAnsi="宋体" w:cs="宋体"/>
                <w:b w:val="0"/>
                <w:bCs w:val="0"/>
                <w:sz w:val="21"/>
                <w:szCs w:val="21"/>
                <w:lang w:val="en-US" w:eastAsia="zh-CN"/>
              </w:rPr>
              <w:t>2</w:t>
            </w:r>
            <w:r>
              <w:rPr>
                <w:rFonts w:hint="eastAsia" w:ascii="宋体" w:hAnsi="宋体" w:cs="宋体"/>
                <w:b w:val="0"/>
                <w:bCs w:val="0"/>
                <w:sz w:val="21"/>
                <w:szCs w:val="21"/>
                <w:lang w:val="en-US" w:eastAsia="zh-CN"/>
              </w:rPr>
              <w:t>70,000.00</w:t>
            </w:r>
          </w:p>
        </w:tc>
      </w:tr>
      <w:tr w14:paraId="2F4C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1936F9A1">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w:t>
            </w:r>
          </w:p>
        </w:tc>
        <w:tc>
          <w:tcPr>
            <w:tcW w:w="1515" w:type="dxa"/>
            <w:noWrap/>
            <w:vAlign w:val="center"/>
          </w:tcPr>
          <w:p w14:paraId="57CBEAFE">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缓存池</w:t>
            </w:r>
          </w:p>
        </w:tc>
        <w:tc>
          <w:tcPr>
            <w:tcW w:w="3015" w:type="dxa"/>
            <w:vMerge w:val="continue"/>
            <w:noWrap/>
            <w:vAlign w:val="center"/>
          </w:tcPr>
          <w:p w14:paraId="2AA6C03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660" w:type="dxa"/>
            <w:noWrap/>
            <w:vAlign w:val="center"/>
          </w:tcPr>
          <w:p w14:paraId="349212B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1</w:t>
            </w:r>
          </w:p>
        </w:tc>
        <w:tc>
          <w:tcPr>
            <w:tcW w:w="660" w:type="dxa"/>
            <w:noWrap/>
            <w:vAlign w:val="center"/>
          </w:tcPr>
          <w:p w14:paraId="42BDC607">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组</w:t>
            </w:r>
          </w:p>
        </w:tc>
        <w:tc>
          <w:tcPr>
            <w:tcW w:w="1476" w:type="dxa"/>
            <w:noWrap/>
            <w:vAlign w:val="center"/>
          </w:tcPr>
          <w:p w14:paraId="694EB83E">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7EE7A4ED">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195,000.00</w:t>
            </w:r>
          </w:p>
        </w:tc>
      </w:tr>
      <w:tr w14:paraId="5A08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5152132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5</w:t>
            </w:r>
          </w:p>
        </w:tc>
        <w:tc>
          <w:tcPr>
            <w:tcW w:w="1515" w:type="dxa"/>
            <w:noWrap/>
            <w:vAlign w:val="center"/>
          </w:tcPr>
          <w:p w14:paraId="3391310D">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立式标识装置</w:t>
            </w:r>
          </w:p>
        </w:tc>
        <w:tc>
          <w:tcPr>
            <w:tcW w:w="3015" w:type="dxa"/>
            <w:noWrap/>
            <w:vAlign w:val="center"/>
          </w:tcPr>
          <w:p w14:paraId="64477C87">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制作并布置作品介绍立式装置</w:t>
            </w:r>
          </w:p>
        </w:tc>
        <w:tc>
          <w:tcPr>
            <w:tcW w:w="660" w:type="dxa"/>
            <w:noWrap/>
            <w:vAlign w:val="center"/>
          </w:tcPr>
          <w:p w14:paraId="182D5173">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5</w:t>
            </w:r>
          </w:p>
        </w:tc>
        <w:tc>
          <w:tcPr>
            <w:tcW w:w="660" w:type="dxa"/>
            <w:noWrap/>
            <w:vAlign w:val="center"/>
          </w:tcPr>
          <w:p w14:paraId="442AF27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件</w:t>
            </w:r>
          </w:p>
        </w:tc>
        <w:tc>
          <w:tcPr>
            <w:tcW w:w="1476" w:type="dxa"/>
            <w:noWrap/>
            <w:vAlign w:val="center"/>
          </w:tcPr>
          <w:p w14:paraId="1EF54362">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4814D7A9">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eastAsia" w:ascii="宋体" w:hAnsi="宋体" w:cs="宋体"/>
                <w:b w:val="0"/>
                <w:bCs w:val="0"/>
                <w:sz w:val="21"/>
                <w:szCs w:val="21"/>
                <w:lang w:val="en-US" w:eastAsia="zh-CN"/>
              </w:rPr>
              <w:t>25,000.00</w:t>
            </w:r>
          </w:p>
        </w:tc>
      </w:tr>
      <w:tr w14:paraId="7C02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5E12DA0F">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6</w:t>
            </w:r>
          </w:p>
        </w:tc>
        <w:tc>
          <w:tcPr>
            <w:tcW w:w="1515" w:type="dxa"/>
            <w:noWrap/>
            <w:vAlign w:val="center"/>
          </w:tcPr>
          <w:p w14:paraId="628EC2A2">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人员运维</w:t>
            </w:r>
          </w:p>
        </w:tc>
        <w:tc>
          <w:tcPr>
            <w:tcW w:w="3015" w:type="dxa"/>
            <w:noWrap/>
            <w:vAlign w:val="top"/>
          </w:tcPr>
          <w:p w14:paraId="625A2A2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vertAlign w:val="baseline"/>
                <w:lang w:val="en-US" w:eastAsia="zh-CN"/>
              </w:rPr>
              <w:t>2024.12.18-2025.2.16期间需安排</w:t>
            </w:r>
            <w:r>
              <w:rPr>
                <w:rFonts w:hint="default" w:ascii="宋体" w:hAnsi="宋体" w:cs="宋体"/>
                <w:sz w:val="21"/>
                <w:szCs w:val="21"/>
                <w:vertAlign w:val="baseline"/>
                <w:lang w:val="en-US" w:eastAsia="zh-CN"/>
              </w:rPr>
              <w:t>不少于2</w:t>
            </w:r>
            <w:r>
              <w:rPr>
                <w:rFonts w:hint="eastAsia" w:ascii="宋体" w:hAnsi="宋体" w:eastAsia="宋体" w:cs="宋体"/>
                <w:sz w:val="21"/>
                <w:szCs w:val="21"/>
                <w:vertAlign w:val="baseline"/>
                <w:lang w:val="en-US" w:eastAsia="zh-CN"/>
              </w:rPr>
              <w:t>名具有电工能力的运维人员轮班</w:t>
            </w:r>
            <w:r>
              <w:rPr>
                <w:rFonts w:hint="default" w:ascii="宋体" w:hAnsi="宋体" w:cs="宋体"/>
                <w:sz w:val="21"/>
                <w:szCs w:val="21"/>
                <w:vertAlign w:val="baseline"/>
                <w:lang w:val="en-US" w:eastAsia="zh-CN"/>
              </w:rPr>
              <w:t>运维</w:t>
            </w:r>
          </w:p>
        </w:tc>
        <w:tc>
          <w:tcPr>
            <w:tcW w:w="660" w:type="dxa"/>
            <w:noWrap/>
            <w:vAlign w:val="center"/>
          </w:tcPr>
          <w:p w14:paraId="3F97DAE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660" w:type="dxa"/>
            <w:noWrap/>
            <w:vAlign w:val="center"/>
          </w:tcPr>
          <w:p w14:paraId="00D1B4C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项</w:t>
            </w:r>
          </w:p>
        </w:tc>
        <w:tc>
          <w:tcPr>
            <w:tcW w:w="1476" w:type="dxa"/>
            <w:noWrap/>
            <w:vAlign w:val="center"/>
          </w:tcPr>
          <w:p w14:paraId="3242D506">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7466E7B9">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default" w:ascii="宋体" w:hAnsi="宋体" w:cs="宋体"/>
                <w:b w:val="0"/>
                <w:bCs w:val="0"/>
                <w:sz w:val="21"/>
                <w:szCs w:val="21"/>
                <w:lang w:val="en-US" w:eastAsia="zh-CN"/>
              </w:rPr>
              <w:t>5</w:t>
            </w:r>
            <w:r>
              <w:rPr>
                <w:rFonts w:hint="eastAsia" w:ascii="宋体" w:hAnsi="宋体" w:cs="宋体"/>
                <w:b w:val="0"/>
                <w:bCs w:val="0"/>
                <w:sz w:val="21"/>
                <w:szCs w:val="21"/>
                <w:lang w:val="en-US" w:eastAsia="zh-CN"/>
              </w:rPr>
              <w:t>0,000.00</w:t>
            </w:r>
          </w:p>
        </w:tc>
      </w:tr>
      <w:tr w14:paraId="126C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45C80FEF">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7</w:t>
            </w:r>
          </w:p>
        </w:tc>
        <w:tc>
          <w:tcPr>
            <w:tcW w:w="1515" w:type="dxa"/>
            <w:noWrap/>
            <w:vAlign w:val="center"/>
          </w:tcPr>
          <w:p w14:paraId="4ED7BD81">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光的捉迷藏</w:t>
            </w:r>
          </w:p>
        </w:tc>
        <w:tc>
          <w:tcPr>
            <w:tcW w:w="3015" w:type="dxa"/>
            <w:noWrap/>
            <w:vAlign w:val="top"/>
          </w:tcPr>
          <w:p w14:paraId="3F88EBA9">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vertAlign w:val="baseline"/>
                <w:lang w:val="en-US" w:eastAsia="zh-CN"/>
              </w:rPr>
              <w:t>组织一场公教活动，利用反光材料及手电筒探寻</w:t>
            </w:r>
            <w:r>
              <w:rPr>
                <w:rFonts w:hint="default" w:ascii="宋体" w:hAnsi="宋体" w:cs="宋体"/>
                <w:sz w:val="21"/>
                <w:szCs w:val="21"/>
                <w:vertAlign w:val="baseline"/>
                <w:lang w:val="en-US" w:eastAsia="zh-CN"/>
              </w:rPr>
              <w:t>光的奥秘</w:t>
            </w:r>
          </w:p>
        </w:tc>
        <w:tc>
          <w:tcPr>
            <w:tcW w:w="660" w:type="dxa"/>
            <w:noWrap/>
            <w:vAlign w:val="center"/>
          </w:tcPr>
          <w:p w14:paraId="76F85223">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660" w:type="dxa"/>
            <w:noWrap/>
            <w:vAlign w:val="center"/>
          </w:tcPr>
          <w:p w14:paraId="7BBA3CB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场</w:t>
            </w:r>
          </w:p>
        </w:tc>
        <w:tc>
          <w:tcPr>
            <w:tcW w:w="1476" w:type="dxa"/>
            <w:noWrap/>
            <w:vAlign w:val="center"/>
          </w:tcPr>
          <w:p w14:paraId="0B3F99C2">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0CA378AD">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default" w:ascii="宋体" w:hAnsi="宋体" w:cs="宋体"/>
                <w:b w:val="0"/>
                <w:bCs w:val="0"/>
                <w:sz w:val="21"/>
                <w:szCs w:val="21"/>
                <w:lang w:val="en-US" w:eastAsia="zh-CN"/>
              </w:rPr>
              <w:t>9</w:t>
            </w:r>
            <w:r>
              <w:rPr>
                <w:rFonts w:hint="eastAsia" w:ascii="宋体" w:hAnsi="宋体" w:cs="宋体"/>
                <w:b w:val="0"/>
                <w:bCs w:val="0"/>
                <w:sz w:val="21"/>
                <w:szCs w:val="21"/>
                <w:lang w:val="en-US" w:eastAsia="zh-CN"/>
              </w:rPr>
              <w:t>0,000.00</w:t>
            </w:r>
          </w:p>
        </w:tc>
      </w:tr>
      <w:tr w14:paraId="36A6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1" w:type="dxa"/>
            <w:gridSpan w:val="5"/>
            <w:noWrap/>
            <w:vAlign w:val="center"/>
          </w:tcPr>
          <w:p w14:paraId="16EB647E">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Theme="minorEastAsia" w:hAnsiTheme="minorEastAsia" w:eastAsiaTheme="minorEastAsia"/>
                <w:bCs/>
                <w:kern w:val="0"/>
                <w:szCs w:val="21"/>
                <w:lang w:val="en-US" w:eastAsia="zh-CN"/>
              </w:rPr>
              <w:t>合计</w:t>
            </w:r>
            <w:r>
              <w:rPr>
                <w:rFonts w:hint="eastAsia" w:asciiTheme="minorEastAsia" w:hAnsiTheme="minorEastAsia" w:eastAsiaTheme="minorEastAsia"/>
                <w:bCs/>
                <w:kern w:val="0"/>
                <w:szCs w:val="21"/>
              </w:rPr>
              <w:t>总价</w:t>
            </w:r>
          </w:p>
        </w:tc>
        <w:tc>
          <w:tcPr>
            <w:tcW w:w="1476" w:type="dxa"/>
            <w:noWrap/>
            <w:vAlign w:val="center"/>
          </w:tcPr>
          <w:p w14:paraId="761A4ED6">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72A56044">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default" w:ascii="宋体" w:hAnsi="宋体" w:cs="宋体"/>
                <w:b w:val="0"/>
                <w:bCs w:val="0"/>
                <w:sz w:val="21"/>
                <w:szCs w:val="21"/>
                <w:lang w:val="en-US" w:eastAsia="zh-CN"/>
              </w:rPr>
              <w:t>1</w:t>
            </w:r>
            <w:r>
              <w:rPr>
                <w:rFonts w:hint="eastAsia" w:ascii="宋体" w:hAnsi="宋体" w:cs="宋体"/>
                <w:b w:val="0"/>
                <w:bCs w:val="0"/>
                <w:sz w:val="21"/>
                <w:szCs w:val="21"/>
                <w:lang w:val="en-US" w:eastAsia="zh-CN"/>
              </w:rPr>
              <w:t>,260,000.00</w:t>
            </w:r>
          </w:p>
        </w:tc>
      </w:tr>
    </w:tbl>
    <w:p w14:paraId="26FAD4E1">
      <w:pPr>
        <w:keepNext w:val="0"/>
        <w:keepLines w:val="0"/>
        <w:pageBreakBefore w:val="0"/>
        <w:widowControl w:val="0"/>
        <w:kinsoku/>
        <w:overflowPunct/>
        <w:topLinePunct w:val="0"/>
        <w:autoSpaceDE/>
        <w:autoSpaceDN/>
        <w:bidi w:val="0"/>
        <w:spacing w:line="360" w:lineRule="auto"/>
        <w:rPr>
          <w:rFonts w:hint="eastAsia" w:ascii="宋体" w:hAnsi="宋体" w:eastAsia="宋体" w:cs="宋体"/>
          <w:b w:val="0"/>
          <w:bCs w:val="0"/>
          <w:sz w:val="21"/>
          <w:szCs w:val="21"/>
        </w:rPr>
      </w:pPr>
      <w:r>
        <w:rPr>
          <w:rFonts w:hint="eastAsia" w:ascii="宋体" w:hAnsi="宋体" w:eastAsia="宋体" w:cs="宋体"/>
          <w:b/>
          <w:bCs/>
          <w:sz w:val="21"/>
          <w:szCs w:val="21"/>
        </w:rPr>
        <w:t>（四）付款方式：</w:t>
      </w:r>
    </w:p>
    <w:p w14:paraId="712FBDD1">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项目款根据财政拨款情况、项目进度情况分期支付：</w:t>
      </w:r>
    </w:p>
    <w:p w14:paraId="2978A013">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rPr>
        <w:t>1.</w:t>
      </w:r>
      <w:r>
        <w:rPr>
          <w:rFonts w:hint="eastAsia" w:ascii="宋体" w:hAnsi="宋体" w:eastAsia="宋体" w:cs="宋体"/>
          <w:b w:val="0"/>
          <w:bCs w:val="0"/>
          <w:color w:val="000000"/>
          <w:sz w:val="21"/>
          <w:szCs w:val="21"/>
          <w:lang w:val="en-US" w:eastAsia="zh-CN"/>
        </w:rPr>
        <w:t>签订本合同并提交经采购单位确认的策划方案后，支付合同价的50%；</w:t>
      </w:r>
    </w:p>
    <w:p w14:paraId="322C5398">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2.光影作品布置完成</w:t>
      </w:r>
      <w:r>
        <w:rPr>
          <w:rFonts w:hint="eastAsia" w:ascii="宋体" w:hAnsi="宋体" w:eastAsia="宋体" w:cs="宋体"/>
          <w:b w:val="0"/>
          <w:bCs w:val="0"/>
          <w:color w:val="000000"/>
          <w:sz w:val="21"/>
          <w:szCs w:val="21"/>
          <w:lang w:eastAsia="zh-CN"/>
        </w:rPr>
        <w:t>并经采购单位同意后</w:t>
      </w:r>
      <w:r>
        <w:rPr>
          <w:rFonts w:hint="eastAsia" w:ascii="宋体" w:hAnsi="宋体" w:eastAsia="宋体" w:cs="宋体"/>
          <w:b w:val="0"/>
          <w:bCs w:val="0"/>
          <w:color w:val="000000"/>
          <w:sz w:val="21"/>
          <w:szCs w:val="21"/>
        </w:rPr>
        <w:t>，支付合同价的</w:t>
      </w:r>
      <w:r>
        <w:rPr>
          <w:rFonts w:hint="eastAsia" w:ascii="宋体" w:hAnsi="宋体" w:cs="宋体"/>
          <w:b w:val="0"/>
          <w:bCs w:val="0"/>
          <w:color w:val="000000"/>
          <w:sz w:val="21"/>
          <w:szCs w:val="21"/>
          <w:lang w:val="en-US" w:eastAsia="zh-CN"/>
        </w:rPr>
        <w:t>35</w:t>
      </w:r>
      <w:r>
        <w:rPr>
          <w:rFonts w:hint="eastAsia" w:ascii="宋体" w:hAnsi="宋体" w:eastAsia="宋体" w:cs="宋体"/>
          <w:b w:val="0"/>
          <w:bCs w:val="0"/>
          <w:color w:val="000000"/>
          <w:sz w:val="21"/>
          <w:szCs w:val="21"/>
        </w:rPr>
        <w:t>%；</w:t>
      </w:r>
    </w:p>
    <w:p w14:paraId="6779B49D">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3</w:t>
      </w:r>
      <w:r>
        <w:rPr>
          <w:rFonts w:hint="eastAsia" w:ascii="宋体" w:hAnsi="宋体" w:eastAsia="宋体" w:cs="宋体"/>
          <w:b w:val="0"/>
          <w:bCs w:val="0"/>
          <w:color w:val="000000"/>
          <w:sz w:val="21"/>
          <w:szCs w:val="21"/>
        </w:rPr>
        <w:t>.</w:t>
      </w:r>
      <w:r>
        <w:rPr>
          <w:rFonts w:hint="eastAsia" w:ascii="宋体" w:hAnsi="宋体" w:eastAsia="宋体" w:cs="宋体"/>
          <w:b w:val="0"/>
          <w:bCs w:val="0"/>
          <w:color w:val="000000"/>
          <w:sz w:val="21"/>
          <w:szCs w:val="21"/>
          <w:lang w:val="en-US" w:eastAsia="zh-CN"/>
        </w:rPr>
        <w:t>光影作品、活动组织完成，</w:t>
      </w:r>
      <w:r>
        <w:rPr>
          <w:rFonts w:hint="eastAsia" w:ascii="宋体" w:hAnsi="宋体" w:eastAsia="宋体" w:cs="宋体"/>
          <w:b w:val="0"/>
          <w:bCs w:val="0"/>
          <w:color w:val="000000"/>
          <w:sz w:val="21"/>
          <w:szCs w:val="21"/>
        </w:rPr>
        <w:t>经</w:t>
      </w:r>
      <w:r>
        <w:rPr>
          <w:rFonts w:hint="eastAsia" w:ascii="宋体" w:hAnsi="宋体" w:eastAsia="宋体" w:cs="宋体"/>
          <w:b w:val="0"/>
          <w:bCs w:val="0"/>
          <w:color w:val="000000"/>
          <w:sz w:val="21"/>
          <w:szCs w:val="21"/>
          <w:lang w:eastAsia="zh-CN"/>
        </w:rPr>
        <w:t>采购</w:t>
      </w:r>
      <w:r>
        <w:rPr>
          <w:rFonts w:hint="eastAsia" w:ascii="宋体" w:hAnsi="宋体" w:eastAsia="宋体" w:cs="宋体"/>
          <w:b w:val="0"/>
          <w:bCs w:val="0"/>
          <w:color w:val="000000"/>
          <w:sz w:val="21"/>
          <w:szCs w:val="21"/>
          <w:lang w:val="en-US" w:eastAsia="zh-CN"/>
        </w:rPr>
        <w:t>人</w:t>
      </w:r>
      <w:r>
        <w:rPr>
          <w:rFonts w:hint="eastAsia" w:ascii="宋体" w:hAnsi="宋体" w:eastAsia="宋体" w:cs="宋体"/>
          <w:b w:val="0"/>
          <w:bCs w:val="0"/>
          <w:color w:val="000000"/>
          <w:sz w:val="21"/>
          <w:szCs w:val="21"/>
        </w:rPr>
        <w:t>验收</w:t>
      </w:r>
      <w:r>
        <w:rPr>
          <w:rFonts w:hint="eastAsia" w:ascii="宋体" w:hAnsi="宋体" w:eastAsia="宋体" w:cs="宋体"/>
          <w:b w:val="0"/>
          <w:bCs w:val="0"/>
          <w:color w:val="000000"/>
          <w:sz w:val="21"/>
          <w:szCs w:val="21"/>
          <w:lang w:eastAsia="zh-CN"/>
        </w:rPr>
        <w:t>并完成结算审核后，支付剩余尾款</w:t>
      </w:r>
      <w:r>
        <w:rPr>
          <w:rFonts w:hint="eastAsia" w:ascii="宋体" w:hAnsi="宋体" w:eastAsia="宋体" w:cs="宋体"/>
          <w:b w:val="0"/>
          <w:bCs w:val="0"/>
          <w:color w:val="000000"/>
          <w:sz w:val="21"/>
          <w:szCs w:val="21"/>
        </w:rPr>
        <w:t>。</w:t>
      </w:r>
    </w:p>
    <w:p w14:paraId="20EACD04">
      <w:pPr>
        <w:keepNext w:val="0"/>
        <w:keepLines w:val="0"/>
        <w:pageBreakBefore w:val="0"/>
        <w:widowControl w:val="0"/>
        <w:kinsoku/>
        <w:overflowPunct/>
        <w:topLinePunct w:val="0"/>
        <w:autoSpaceDE/>
        <w:autoSpaceDN/>
        <w:bidi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color w:val="000000"/>
          <w:sz w:val="21"/>
          <w:szCs w:val="21"/>
          <w:lang w:val="en-US" w:eastAsia="zh-CN"/>
        </w:rPr>
        <w:t>4</w:t>
      </w:r>
      <w:r>
        <w:rPr>
          <w:rFonts w:hint="eastAsia" w:ascii="宋体" w:hAnsi="宋体" w:eastAsia="宋体" w:cs="宋体"/>
          <w:b w:val="0"/>
          <w:bCs w:val="0"/>
          <w:color w:val="000000"/>
          <w:sz w:val="21"/>
          <w:szCs w:val="21"/>
        </w:rPr>
        <w:t>.以上每次付款期前1</w:t>
      </w:r>
      <w:r>
        <w:rPr>
          <w:rFonts w:hint="eastAsia" w:ascii="宋体" w:hAnsi="宋体" w:eastAsia="宋体" w:cs="宋体"/>
          <w:b w:val="0"/>
          <w:bCs w:val="0"/>
          <w:color w:val="000000"/>
          <w:sz w:val="21"/>
          <w:szCs w:val="21"/>
          <w:lang w:val="en-US" w:eastAsia="zh-CN"/>
        </w:rPr>
        <w:t>0个工作</w:t>
      </w:r>
      <w:r>
        <w:rPr>
          <w:rFonts w:hint="eastAsia" w:ascii="宋体" w:hAnsi="宋体" w:eastAsia="宋体" w:cs="宋体"/>
          <w:b w:val="0"/>
          <w:bCs w:val="0"/>
          <w:color w:val="000000"/>
          <w:sz w:val="21"/>
          <w:szCs w:val="21"/>
        </w:rPr>
        <w:t>日内，中标</w:t>
      </w:r>
      <w:r>
        <w:rPr>
          <w:rFonts w:hint="eastAsia" w:ascii="宋体" w:hAnsi="宋体" w:eastAsia="宋体" w:cs="宋体"/>
          <w:b w:val="0"/>
          <w:bCs w:val="0"/>
          <w:color w:val="000000"/>
          <w:sz w:val="21"/>
          <w:szCs w:val="21"/>
          <w:lang w:eastAsia="zh-CN"/>
        </w:rPr>
        <w:t>单位</w:t>
      </w:r>
      <w:r>
        <w:rPr>
          <w:rFonts w:hint="eastAsia" w:ascii="宋体" w:hAnsi="宋体" w:eastAsia="宋体" w:cs="宋体"/>
          <w:b w:val="0"/>
          <w:bCs w:val="0"/>
          <w:color w:val="000000"/>
          <w:sz w:val="21"/>
          <w:szCs w:val="21"/>
        </w:rPr>
        <w:t>需提供符合</w:t>
      </w:r>
      <w:r>
        <w:rPr>
          <w:rFonts w:hint="eastAsia" w:ascii="宋体" w:hAnsi="宋体" w:eastAsia="宋体" w:cs="宋体"/>
          <w:b w:val="0"/>
          <w:bCs w:val="0"/>
          <w:color w:val="000000"/>
          <w:sz w:val="21"/>
          <w:szCs w:val="21"/>
          <w:lang w:eastAsia="zh-CN"/>
        </w:rPr>
        <w:t>采购单位</w:t>
      </w:r>
      <w:r>
        <w:rPr>
          <w:rFonts w:hint="eastAsia" w:ascii="宋体" w:hAnsi="宋体" w:eastAsia="宋体" w:cs="宋体"/>
          <w:b w:val="0"/>
          <w:bCs w:val="0"/>
          <w:color w:val="000000"/>
          <w:sz w:val="21"/>
          <w:szCs w:val="21"/>
        </w:rPr>
        <w:t>要求的合法有效发票，否则</w:t>
      </w:r>
      <w:r>
        <w:rPr>
          <w:rFonts w:hint="eastAsia" w:ascii="宋体" w:hAnsi="宋体" w:eastAsia="宋体" w:cs="宋体"/>
          <w:b w:val="0"/>
          <w:bCs w:val="0"/>
          <w:color w:val="000000"/>
          <w:sz w:val="21"/>
          <w:szCs w:val="21"/>
          <w:lang w:val="en-US" w:eastAsia="zh-CN"/>
        </w:rPr>
        <w:t>采购</w:t>
      </w:r>
      <w:r>
        <w:rPr>
          <w:rFonts w:hint="eastAsia" w:ascii="宋体" w:hAnsi="宋体" w:eastAsia="宋体" w:cs="宋体"/>
          <w:b w:val="0"/>
          <w:bCs w:val="0"/>
          <w:color w:val="000000"/>
          <w:sz w:val="21"/>
          <w:szCs w:val="21"/>
        </w:rPr>
        <w:t>人有权不付或者延迟付款且不承担任何责任。</w:t>
      </w:r>
    </w:p>
    <w:p w14:paraId="383E5681">
      <w:pPr>
        <w:keepNext w:val="0"/>
        <w:keepLines w:val="0"/>
        <w:pageBreakBefore w:val="0"/>
        <w:widowControl w:val="0"/>
        <w:kinsoku/>
        <w:overflowPunct/>
        <w:topLinePunct w:val="0"/>
        <w:autoSpaceDE/>
        <w:autoSpaceDN/>
        <w:bidi w:val="0"/>
        <w:spacing w:line="360" w:lineRule="auto"/>
        <w:rPr>
          <w:rFonts w:hint="eastAsia" w:ascii="宋体" w:hAnsi="宋体" w:eastAsia="宋体" w:cs="宋体"/>
          <w:b w:val="0"/>
          <w:bCs w:val="0"/>
          <w:sz w:val="21"/>
          <w:szCs w:val="21"/>
        </w:rPr>
      </w:pPr>
      <w:r>
        <w:rPr>
          <w:rFonts w:hint="eastAsia" w:ascii="宋体" w:hAnsi="宋体" w:eastAsia="宋体" w:cs="宋体"/>
          <w:b/>
          <w:bCs/>
          <w:sz w:val="21"/>
          <w:szCs w:val="21"/>
        </w:rPr>
        <w:t>（五）验收要求：</w:t>
      </w:r>
    </w:p>
    <w:p w14:paraId="3698AB9F">
      <w:pPr>
        <w:keepNext w:val="0"/>
        <w:keepLines w:val="0"/>
        <w:pageBreakBefore w:val="0"/>
        <w:widowControl w:val="0"/>
        <w:kinsoku/>
        <w:overflowPunct/>
        <w:topLinePunct w:val="0"/>
        <w:autoSpaceDE/>
        <w:autoSpaceDN/>
        <w:bidi w:val="0"/>
        <w:spacing w:line="360" w:lineRule="auto"/>
        <w:ind w:firstLine="424" w:firstLineChars="202"/>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（1）服务期满，中标人按招标文件、投标文件及合同要求完成项目服务工作，并按要求完成验收文档准备后，中标人向采购人提出项目验收申请，验收工作由采购人组织有关人员进行。</w:t>
      </w:r>
    </w:p>
    <w:p w14:paraId="26A076E0">
      <w:pPr>
        <w:keepNext w:val="0"/>
        <w:keepLines w:val="0"/>
        <w:pageBreakBefore w:val="0"/>
        <w:widowControl w:val="0"/>
        <w:kinsoku/>
        <w:overflowPunct/>
        <w:topLinePunct w:val="0"/>
        <w:autoSpaceDE/>
        <w:autoSpaceDN/>
        <w:bidi w:val="0"/>
        <w:spacing w:line="360" w:lineRule="auto"/>
        <w:ind w:firstLine="424" w:firstLineChars="202"/>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（2）当满足以下条作时，采购人向中标人发出验收报告：</w:t>
      </w:r>
    </w:p>
    <w:p w14:paraId="6D99E62C">
      <w:pPr>
        <w:keepNext w:val="0"/>
        <w:keepLines w:val="0"/>
        <w:pageBreakBefore w:val="0"/>
        <w:widowControl w:val="0"/>
        <w:kinsoku/>
        <w:wordWrap/>
        <w:overflowPunct/>
        <w:topLinePunct w:val="0"/>
        <w:autoSpaceDE/>
        <w:autoSpaceDN/>
        <w:bidi w:val="0"/>
        <w:adjustRightInd/>
        <w:snapToGrid/>
        <w:spacing w:line="360" w:lineRule="auto"/>
        <w:ind w:firstLine="422" w:firstLineChars="201"/>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a、中标人已按照合同约定提供了全部服务以及完整的项目资料；</w:t>
      </w:r>
    </w:p>
    <w:p w14:paraId="46A31327">
      <w:pPr>
        <w:keepNext w:val="0"/>
        <w:keepLines w:val="0"/>
        <w:pageBreakBefore w:val="0"/>
        <w:widowControl w:val="0"/>
        <w:kinsoku/>
        <w:wordWrap/>
        <w:overflowPunct/>
        <w:topLinePunct w:val="0"/>
        <w:autoSpaceDE/>
        <w:autoSpaceDN/>
        <w:bidi w:val="0"/>
        <w:adjustRightInd/>
        <w:snapToGrid/>
        <w:spacing w:line="360" w:lineRule="auto"/>
        <w:ind w:firstLine="422" w:firstLineChars="201"/>
        <w:textAlignment w:val="auto"/>
        <w:rPr>
          <w:rFonts w:hint="eastAsia" w:ascii="宋体" w:hAnsi="宋体" w:eastAsia="宋体" w:cs="宋体"/>
          <w:b w:val="0"/>
          <w:bCs w:val="0"/>
          <w:sz w:val="21"/>
          <w:szCs w:val="21"/>
        </w:rPr>
      </w:pPr>
      <w:r>
        <w:rPr>
          <w:rFonts w:hint="eastAsia" w:ascii="宋体" w:hAnsi="宋体" w:eastAsia="宋体" w:cs="宋体"/>
          <w:b w:val="0"/>
          <w:bCs w:val="0"/>
          <w:kern w:val="0"/>
          <w:sz w:val="21"/>
          <w:szCs w:val="21"/>
        </w:rPr>
        <w:t>b、符合投标文件及合同技术服务要求，通过采购人验收</w:t>
      </w:r>
      <w:r>
        <w:rPr>
          <w:rFonts w:hint="eastAsia" w:ascii="宋体" w:hAnsi="宋体" w:eastAsia="宋体" w:cs="宋体"/>
          <w:b w:val="0"/>
          <w:bCs w:val="0"/>
          <w:sz w:val="21"/>
          <w:szCs w:val="21"/>
        </w:rPr>
        <w:t>。</w:t>
      </w:r>
    </w:p>
    <w:p w14:paraId="019460DA">
      <w:pPr>
        <w:keepNext w:val="0"/>
        <w:keepLines w:val="0"/>
        <w:pageBreakBefore w:val="0"/>
        <w:widowControl w:val="0"/>
        <w:kinsoku/>
        <w:overflowPunct/>
        <w:topLinePunct w:val="0"/>
        <w:autoSpaceDE/>
        <w:autoSpaceDN/>
        <w:bidi w:val="0"/>
        <w:spacing w:line="360" w:lineRule="auto"/>
        <w:ind w:firstLine="422" w:firstLineChars="200"/>
        <w:rPr>
          <w:rFonts w:hint="eastAsia" w:ascii="宋体" w:hAnsi="宋体" w:eastAsia="宋体" w:cs="宋体"/>
          <w:b w:val="0"/>
          <w:bCs w:val="0"/>
          <w:sz w:val="21"/>
          <w:szCs w:val="21"/>
          <w:lang w:val="en-US" w:eastAsia="zh-CN"/>
        </w:rPr>
      </w:pPr>
      <w:r>
        <w:rPr>
          <w:rFonts w:hint="eastAsia" w:ascii="宋体" w:hAnsi="宋体" w:eastAsia="宋体" w:cs="宋体"/>
          <w:b/>
          <w:bCs/>
          <w:sz w:val="21"/>
          <w:szCs w:val="21"/>
          <w:highlight w:val="yellow"/>
          <w:lang w:eastAsia="zh-CN"/>
        </w:rPr>
        <w:t>★（</w:t>
      </w:r>
      <w:r>
        <w:rPr>
          <w:rFonts w:hint="eastAsia" w:ascii="宋体" w:hAnsi="宋体" w:eastAsia="宋体" w:cs="宋体"/>
          <w:b/>
          <w:bCs/>
          <w:sz w:val="21"/>
          <w:szCs w:val="21"/>
          <w:highlight w:val="yellow"/>
          <w:lang w:val="en-US" w:eastAsia="zh-CN"/>
        </w:rPr>
        <w:t>3</w:t>
      </w:r>
      <w:r>
        <w:rPr>
          <w:rFonts w:hint="eastAsia" w:ascii="宋体" w:hAnsi="宋体" w:eastAsia="宋体" w:cs="宋体"/>
          <w:b/>
          <w:bCs/>
          <w:sz w:val="21"/>
          <w:szCs w:val="21"/>
          <w:highlight w:val="yellow"/>
          <w:lang w:eastAsia="zh-CN"/>
        </w:rPr>
        <w:t>）中标单位需在采购单位要求时间内完成所有工作，并通过采购单位的组织验收，撤场的具体时间由采购单位确定。</w:t>
      </w:r>
    </w:p>
    <w:p w14:paraId="05558EB2">
      <w:pPr>
        <w:keepNext w:val="0"/>
        <w:keepLines w:val="0"/>
        <w:pageBreakBefore w:val="0"/>
        <w:widowControl w:val="0"/>
        <w:kinsoku/>
        <w:overflowPunct/>
        <w:topLinePunct w:val="0"/>
        <w:autoSpaceDE/>
        <w:autoSpaceDN/>
        <w:bidi w:val="0"/>
        <w:spacing w:line="360" w:lineRule="auto"/>
        <w:rPr>
          <w:rFonts w:hint="eastAsia" w:ascii="宋体" w:hAnsi="宋体" w:eastAsia="宋体" w:cs="宋体"/>
          <w:b w:val="0"/>
          <w:bCs w:val="0"/>
          <w:sz w:val="21"/>
          <w:szCs w:val="21"/>
        </w:rPr>
      </w:pPr>
      <w:r>
        <w:rPr>
          <w:rFonts w:hint="eastAsia" w:ascii="宋体" w:hAnsi="宋体" w:eastAsia="宋体" w:cs="宋体"/>
          <w:b/>
          <w:bCs/>
          <w:sz w:val="21"/>
          <w:szCs w:val="21"/>
        </w:rPr>
        <w:t>（六）违约责任：</w:t>
      </w:r>
    </w:p>
    <w:p w14:paraId="7B47FAA4">
      <w:pPr>
        <w:keepNext w:val="0"/>
        <w:keepLines w:val="0"/>
        <w:pageBreakBefore w:val="0"/>
        <w:widowControl w:val="0"/>
        <w:kinsoku/>
        <w:overflowPunct/>
        <w:topLinePunct w:val="0"/>
        <w:autoSpaceDE/>
        <w:autoSpaceDN/>
        <w:bidi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（1）因中标人原因，未能按规定时间完成合同约定服务内容，采购人有权解除合同，并要求中标人返还所有已付价款。给采购人造成损失的，中标人应当承担全部赔偿责任。</w:t>
      </w:r>
    </w:p>
    <w:p w14:paraId="784594EC">
      <w:pPr>
        <w:keepNext w:val="0"/>
        <w:keepLines w:val="0"/>
        <w:pageBreakBefore w:val="0"/>
        <w:widowControl w:val="0"/>
        <w:kinsoku/>
        <w:overflowPunct/>
        <w:topLinePunct w:val="0"/>
        <w:autoSpaceDE/>
        <w:autoSpaceDN/>
        <w:bidi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（2）由于中标人原因造成项目成果质量低劣，不能满足合同约定项目验收要求时，应继续完善项目工作，其费用由中标人承担。</w:t>
      </w:r>
    </w:p>
    <w:p w14:paraId="5EE9DFB2">
      <w:pPr>
        <w:keepNext w:val="0"/>
        <w:keepLines w:val="0"/>
        <w:pageBreakBefore w:val="0"/>
        <w:widowControl w:val="0"/>
        <w:kinsoku/>
        <w:overflowPunct/>
        <w:topLinePunct w:val="0"/>
        <w:autoSpaceDE/>
        <w:autoSpaceDN/>
        <w:bidi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（3）如中标人提供的服务不符合合同约定的质量要求，必须在采购人提出要求7日历天内无条件整改，其费用由中标人承担。</w:t>
      </w:r>
    </w:p>
    <w:p w14:paraId="2D3BD526">
      <w:pPr>
        <w:keepNext w:val="0"/>
        <w:keepLines w:val="0"/>
        <w:pageBreakBefore w:val="0"/>
        <w:widowControl w:val="0"/>
        <w:kinsoku/>
        <w:overflowPunct/>
        <w:topLinePunct w:val="0"/>
        <w:autoSpaceDE/>
        <w:autoSpaceDN/>
        <w:bidi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（4）如中标人工作人员违反合同项下关于保密义务的规定的，给采购人造成损失的，中标人应当承担全部赔偿责任，涉及违法犯罪的人员，采购人可移送有关机关处理。</w:t>
      </w:r>
    </w:p>
    <w:p w14:paraId="18E8A82C">
      <w:pPr>
        <w:keepNext w:val="0"/>
        <w:keepLines w:val="0"/>
        <w:pageBreakBefore w:val="0"/>
        <w:widowControl w:val="0"/>
        <w:kinsoku/>
        <w:overflowPunct/>
        <w:topLinePunct w:val="0"/>
        <w:autoSpaceDE/>
        <w:autoSpaceDN/>
        <w:bidi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5）因不可抗力（包括但不限于自然灾害、政府行为、政策调整等事件）造成本协议延迟履行或任何一方违约，双方均无需承担违约责任，受影响一方应尽可能及时通知另一方。如前述事件妨碍协议履行达三个月以上的，双方可协商修改合同或</w:t>
      </w:r>
      <w:r>
        <w:rPr>
          <w:rFonts w:hint="eastAsia" w:ascii="宋体" w:hAnsi="宋体" w:cs="宋体"/>
          <w:b w:val="0"/>
          <w:bCs w:val="0"/>
          <w:sz w:val="21"/>
          <w:szCs w:val="21"/>
          <w:lang w:val="en-US" w:eastAsia="zh-CN"/>
        </w:rPr>
        <w:t>采购方有权</w:t>
      </w:r>
      <w:r>
        <w:rPr>
          <w:rFonts w:hint="eastAsia" w:ascii="宋体" w:hAnsi="宋体" w:eastAsia="宋体" w:cs="宋体"/>
          <w:b w:val="0"/>
          <w:bCs w:val="0"/>
          <w:sz w:val="21"/>
          <w:szCs w:val="21"/>
        </w:rPr>
        <w:t>终止合同。</w:t>
      </w:r>
    </w:p>
    <w:p w14:paraId="1AEE4697">
      <w:pPr>
        <w:keepNext w:val="0"/>
        <w:keepLines w:val="0"/>
        <w:pageBreakBefore w:val="0"/>
        <w:widowControl w:val="0"/>
        <w:kinsoku/>
        <w:wordWrap/>
        <w:overflowPunct/>
        <w:topLinePunct w:val="0"/>
        <w:autoSpaceDE/>
        <w:autoSpaceDN/>
        <w:bidi w:val="0"/>
        <w:spacing w:line="36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6</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中标人未按服务合同约定条款执行的，经招标人书面通知在合理期限内仍无法纠正的，招标人</w:t>
      </w:r>
      <w:r>
        <w:rPr>
          <w:rFonts w:hint="eastAsia" w:ascii="宋体" w:hAnsi="宋体" w:eastAsia="宋体" w:cs="宋体"/>
          <w:b w:val="0"/>
          <w:bCs w:val="0"/>
          <w:sz w:val="21"/>
          <w:szCs w:val="21"/>
          <w:lang w:val="en-US" w:eastAsia="zh-CN"/>
        </w:rPr>
        <w:t>有权要求中标人</w:t>
      </w:r>
      <w:r>
        <w:rPr>
          <w:rFonts w:hint="eastAsia" w:ascii="宋体" w:hAnsi="宋体" w:eastAsia="宋体" w:cs="宋体"/>
          <w:b w:val="0"/>
          <w:bCs w:val="0"/>
          <w:sz w:val="21"/>
          <w:szCs w:val="21"/>
        </w:rPr>
        <w:t>按5000元/次</w:t>
      </w:r>
      <w:r>
        <w:rPr>
          <w:rFonts w:hint="eastAsia" w:ascii="宋体" w:hAnsi="宋体" w:eastAsia="宋体" w:cs="宋体"/>
          <w:b w:val="0"/>
          <w:bCs w:val="0"/>
          <w:sz w:val="21"/>
          <w:szCs w:val="21"/>
          <w:lang w:val="en-US" w:eastAsia="zh-CN"/>
        </w:rPr>
        <w:t>承担</w:t>
      </w:r>
      <w:r>
        <w:rPr>
          <w:rFonts w:hint="eastAsia" w:ascii="宋体" w:hAnsi="宋体" w:eastAsia="宋体" w:cs="宋体"/>
          <w:b w:val="0"/>
          <w:bCs w:val="0"/>
          <w:sz w:val="21"/>
          <w:szCs w:val="21"/>
        </w:rPr>
        <w:t>违约</w:t>
      </w:r>
      <w:r>
        <w:rPr>
          <w:rFonts w:hint="eastAsia" w:ascii="宋体" w:hAnsi="宋体" w:eastAsia="宋体" w:cs="宋体"/>
          <w:b w:val="0"/>
          <w:bCs w:val="0"/>
          <w:sz w:val="21"/>
          <w:szCs w:val="21"/>
          <w:lang w:val="en-US" w:eastAsia="zh-CN"/>
        </w:rPr>
        <w:t>责任</w:t>
      </w:r>
      <w:r>
        <w:rPr>
          <w:rFonts w:hint="eastAsia" w:ascii="宋体" w:hAnsi="宋体" w:eastAsia="宋体" w:cs="宋体"/>
          <w:b w:val="0"/>
          <w:bCs w:val="0"/>
          <w:sz w:val="21"/>
          <w:szCs w:val="21"/>
        </w:rPr>
        <w:t>，招标人有权从服务费中扣除有关违约金额。</w:t>
      </w:r>
    </w:p>
    <w:p w14:paraId="1EA71B41">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7</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rPr>
        <w:t>中标人有以下行为之一的，招标人有权依法解除服务合同，由此造成的一切经济损失和法律责任由中标人承担：</w:t>
      </w:r>
    </w:p>
    <w:p w14:paraId="242CDCAD">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①</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违反管理规定，造成重大伤亡或重大损伤。</w:t>
      </w:r>
    </w:p>
    <w:p w14:paraId="3758497F">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②</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因管理不善造成恶劣影响。</w:t>
      </w:r>
    </w:p>
    <w:p w14:paraId="71EBDA77">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③</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违反劳动法或其他相关法律法规，造成恶劣影响。</w:t>
      </w:r>
    </w:p>
    <w:p w14:paraId="1847118E">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ascii="宋体" w:hAnsi="宋体" w:eastAsia="宋体" w:cs="宋体"/>
        </w:rPr>
      </w:pPr>
      <w:r>
        <w:rPr>
          <w:rFonts w:hint="eastAsia" w:ascii="宋体" w:hAnsi="宋体" w:eastAsia="宋体" w:cs="宋体"/>
          <w:b w:val="0"/>
          <w:bCs w:val="0"/>
          <w:sz w:val="21"/>
          <w:szCs w:val="21"/>
        </w:rPr>
        <w:t>④</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弄虚造假或造成恶劣影响的其他不正当行为。</w:t>
      </w:r>
    </w:p>
    <w:p w14:paraId="0AB652CF">
      <w:pPr>
        <w:pStyle w:val="6"/>
        <w:keepNext w:val="0"/>
        <w:keepLines w:val="0"/>
        <w:pageBreakBefore w:val="0"/>
        <w:widowControl w:val="0"/>
        <w:kinsoku/>
        <w:overflowPunct/>
        <w:topLinePunct w:val="0"/>
        <w:autoSpaceDE/>
        <w:autoSpaceDN/>
        <w:bidi w:val="0"/>
        <w:spacing w:line="360" w:lineRule="auto"/>
        <w:rPr>
          <w:rFonts w:hint="eastAsia" w:ascii="宋体" w:hAnsi="宋体" w:eastAsia="宋体" w:cs="宋体"/>
          <w:sz w:val="28"/>
          <w:szCs w:val="28"/>
        </w:rPr>
      </w:pPr>
      <w:r>
        <w:rPr>
          <w:rFonts w:hint="eastAsia" w:ascii="宋体" w:hAnsi="宋体" w:eastAsia="宋体" w:cs="宋体"/>
          <w:b/>
          <w:bCs/>
          <w:kern w:val="0"/>
          <w:sz w:val="28"/>
          <w:szCs w:val="28"/>
          <w:lang w:val="en-US" w:eastAsia="zh-CN" w:bidi="ar-SA"/>
        </w:rPr>
        <w:t>六、演示要求</w:t>
      </w:r>
    </w:p>
    <w:p w14:paraId="7484D0FD">
      <w:pPr>
        <w:keepNext w:val="0"/>
        <w:keepLines w:val="0"/>
        <w:pageBreakBefore w:val="0"/>
        <w:widowControl w:val="0"/>
        <w:kinsoku/>
        <w:overflowPunct/>
        <w:topLinePunct w:val="0"/>
        <w:autoSpaceDE/>
        <w:autoSpaceDN/>
        <w:bidi w:val="0"/>
        <w:spacing w:line="360" w:lineRule="auto"/>
        <w:ind w:firstLine="392" w:firstLineChars="187"/>
        <w:rPr>
          <w:rFonts w:hint="eastAsia" w:ascii="宋体" w:hAnsi="宋体" w:eastAsia="宋体" w:cs="宋体"/>
          <w:szCs w:val="21"/>
        </w:rPr>
      </w:pPr>
      <w:r>
        <w:rPr>
          <w:rFonts w:hint="eastAsia" w:ascii="宋体" w:hAnsi="宋体" w:eastAsia="宋体" w:cs="宋体"/>
          <w:szCs w:val="21"/>
        </w:rPr>
        <w:t>（一）总体要求：</w:t>
      </w:r>
    </w:p>
    <w:p w14:paraId="7CE48839">
      <w:pPr>
        <w:keepNext w:val="0"/>
        <w:keepLines w:val="0"/>
        <w:pageBreakBefore w:val="0"/>
        <w:widowControl w:val="0"/>
        <w:kinsoku/>
        <w:overflowPunct/>
        <w:topLinePunct w:val="0"/>
        <w:autoSpaceDE/>
        <w:autoSpaceDN/>
        <w:bidi w:val="0"/>
        <w:spacing w:line="360" w:lineRule="auto"/>
        <w:ind w:firstLine="392" w:firstLineChars="187"/>
        <w:rPr>
          <w:rFonts w:hint="eastAsia" w:ascii="宋体" w:hAnsi="宋体" w:eastAsia="宋体" w:cs="宋体"/>
          <w:szCs w:val="21"/>
        </w:rPr>
      </w:pPr>
      <w:r>
        <w:rPr>
          <w:rFonts w:hint="eastAsia" w:ascii="宋体" w:hAnsi="宋体" w:eastAsia="宋体" w:cs="宋体"/>
          <w:szCs w:val="21"/>
        </w:rPr>
        <w:t>演示地点提供电源、投影仪及宽带上网环境（有WIFI），由投标人代表自带手提电脑、无线路由器、便携式服务器、U盘及其它能完成演示操作的设备（具体以投标人实际需要为准）进行演示。由于演示场地有限，建议勿携带过大设备进行演示。</w:t>
      </w:r>
    </w:p>
    <w:p w14:paraId="3105D3D8">
      <w:pPr>
        <w:keepNext w:val="0"/>
        <w:keepLines w:val="0"/>
        <w:pageBreakBefore w:val="0"/>
        <w:widowControl w:val="0"/>
        <w:kinsoku/>
        <w:overflowPunct/>
        <w:topLinePunct w:val="0"/>
        <w:autoSpaceDE/>
        <w:autoSpaceDN/>
        <w:bidi w:val="0"/>
        <w:spacing w:line="360" w:lineRule="auto"/>
        <w:ind w:firstLine="392" w:firstLineChars="187"/>
        <w:rPr>
          <w:rFonts w:hint="eastAsia" w:ascii="宋体" w:hAnsi="宋体" w:eastAsia="宋体" w:cs="宋体"/>
          <w:szCs w:val="21"/>
        </w:rPr>
      </w:pPr>
      <w:r>
        <w:rPr>
          <w:rFonts w:hint="eastAsia" w:ascii="宋体" w:hAnsi="宋体" w:eastAsia="宋体" w:cs="宋体"/>
          <w:szCs w:val="21"/>
        </w:rPr>
        <w:t>每个投标人的现场演示时间不超过10分钟（演示期间评委将进行提问，并有权酌情延长时间），现场演示人员不得超过2人。</w:t>
      </w:r>
    </w:p>
    <w:p w14:paraId="6C750851">
      <w:pPr>
        <w:keepNext w:val="0"/>
        <w:keepLines w:val="0"/>
        <w:pageBreakBefore w:val="0"/>
        <w:widowControl w:val="0"/>
        <w:kinsoku/>
        <w:overflowPunct/>
        <w:topLinePunct w:val="0"/>
        <w:autoSpaceDE/>
        <w:autoSpaceDN/>
        <w:bidi w:val="0"/>
        <w:spacing w:line="360" w:lineRule="auto"/>
        <w:ind w:firstLine="392" w:firstLineChars="187"/>
        <w:rPr>
          <w:rFonts w:hint="eastAsia" w:ascii="宋体" w:hAnsi="宋体" w:eastAsia="宋体" w:cs="宋体"/>
          <w:szCs w:val="21"/>
        </w:rPr>
      </w:pPr>
      <w:r>
        <w:rPr>
          <w:rFonts w:hint="eastAsia" w:ascii="宋体" w:hAnsi="宋体" w:eastAsia="宋体" w:cs="宋体"/>
          <w:szCs w:val="21"/>
        </w:rPr>
        <w:t>（二）签到要求：</w:t>
      </w:r>
    </w:p>
    <w:p w14:paraId="3E2B11A1">
      <w:pPr>
        <w:keepNext w:val="0"/>
        <w:keepLines w:val="0"/>
        <w:pageBreakBefore w:val="0"/>
        <w:widowControl w:val="0"/>
        <w:kinsoku/>
        <w:overflowPunct/>
        <w:topLinePunct w:val="0"/>
        <w:autoSpaceDE/>
        <w:autoSpaceDN/>
        <w:bidi w:val="0"/>
        <w:spacing w:line="360" w:lineRule="auto"/>
        <w:ind w:firstLine="392" w:firstLineChars="187"/>
        <w:rPr>
          <w:rFonts w:hint="eastAsia" w:ascii="宋体" w:hAnsi="宋体" w:eastAsia="宋体" w:cs="宋体"/>
          <w:szCs w:val="21"/>
        </w:rPr>
      </w:pPr>
      <w:r>
        <w:rPr>
          <w:rFonts w:hint="eastAsia" w:ascii="宋体" w:hAnsi="宋体" w:eastAsia="宋体" w:cs="宋体"/>
          <w:szCs w:val="21"/>
        </w:rPr>
        <w:t>参加现场演示的投标人须在</w:t>
      </w:r>
      <w:r>
        <w:rPr>
          <w:rFonts w:hint="eastAsia" w:ascii="宋体" w:hAnsi="宋体" w:eastAsia="宋体" w:cs="宋体"/>
          <w:b/>
          <w:szCs w:val="24"/>
          <w:highlight w:val="yellow"/>
          <w:u w:val="single"/>
        </w:rPr>
        <w:t>2024年</w:t>
      </w:r>
      <w:r>
        <w:rPr>
          <w:rFonts w:hint="eastAsia" w:ascii="宋体" w:hAnsi="宋体" w:cs="宋体"/>
          <w:b/>
          <w:szCs w:val="24"/>
          <w:highlight w:val="yellow"/>
          <w:u w:val="single"/>
          <w:lang w:val="en-US" w:eastAsia="zh-CN"/>
        </w:rPr>
        <w:t>11</w:t>
      </w:r>
      <w:r>
        <w:rPr>
          <w:rFonts w:hint="eastAsia" w:ascii="宋体" w:hAnsi="宋体" w:eastAsia="宋体" w:cs="宋体"/>
          <w:b/>
          <w:szCs w:val="24"/>
          <w:highlight w:val="yellow"/>
          <w:u w:val="single"/>
        </w:rPr>
        <w:t>月</w:t>
      </w:r>
      <w:r>
        <w:rPr>
          <w:rFonts w:hint="eastAsia" w:ascii="宋体" w:hAnsi="宋体" w:cs="宋体"/>
          <w:b/>
          <w:szCs w:val="24"/>
          <w:highlight w:val="yellow"/>
          <w:u w:val="single"/>
          <w:lang w:val="en-US" w:eastAsia="zh-CN"/>
        </w:rPr>
        <w:t>29</w:t>
      </w:r>
      <w:r>
        <w:rPr>
          <w:rFonts w:hint="eastAsia" w:ascii="宋体" w:hAnsi="宋体" w:eastAsia="宋体" w:cs="宋体"/>
          <w:b/>
          <w:szCs w:val="24"/>
          <w:highlight w:val="yellow"/>
          <w:u w:val="single"/>
        </w:rPr>
        <w:t>日</w:t>
      </w:r>
      <w:r>
        <w:rPr>
          <w:rFonts w:hint="eastAsia" w:ascii="宋体" w:hAnsi="宋体" w:cs="宋体"/>
          <w:b/>
          <w:szCs w:val="24"/>
          <w:highlight w:val="yellow"/>
          <w:u w:val="single"/>
          <w:lang w:val="en-US" w:eastAsia="zh-CN"/>
        </w:rPr>
        <w:t>15</w:t>
      </w:r>
      <w:r>
        <w:rPr>
          <w:rFonts w:hint="eastAsia" w:ascii="宋体" w:hAnsi="宋体" w:eastAsia="宋体" w:cs="宋体"/>
          <w:b/>
          <w:szCs w:val="24"/>
          <w:highlight w:val="yellow"/>
          <w:u w:val="single"/>
        </w:rPr>
        <w:t>:</w:t>
      </w:r>
      <w:r>
        <w:rPr>
          <w:rFonts w:hint="eastAsia" w:ascii="宋体" w:hAnsi="宋体" w:cs="宋体"/>
          <w:b/>
          <w:szCs w:val="24"/>
          <w:highlight w:val="yellow"/>
          <w:u w:val="single"/>
          <w:lang w:val="en-US" w:eastAsia="zh-CN"/>
        </w:rPr>
        <w:t>0</w:t>
      </w:r>
      <w:r>
        <w:rPr>
          <w:rFonts w:hint="eastAsia" w:ascii="宋体" w:hAnsi="宋体" w:eastAsia="宋体" w:cs="宋体"/>
          <w:b/>
          <w:szCs w:val="24"/>
          <w:highlight w:val="yellow"/>
          <w:u w:val="single"/>
        </w:rPr>
        <w:t>0:00（北京时间）</w:t>
      </w:r>
      <w:r>
        <w:rPr>
          <w:rFonts w:hint="eastAsia" w:ascii="宋体" w:hAnsi="宋体" w:eastAsia="宋体" w:cs="宋体"/>
          <w:b/>
          <w:szCs w:val="21"/>
          <w:highlight w:val="yellow"/>
        </w:rPr>
        <w:t>前，携带法定代表人证明书（盖公章）及法人授权委托书（盖公章）</w:t>
      </w:r>
      <w:r>
        <w:rPr>
          <w:rFonts w:hint="eastAsia" w:ascii="宋体" w:hAnsi="宋体" w:eastAsia="宋体" w:cs="宋体"/>
          <w:szCs w:val="21"/>
        </w:rPr>
        <w:t>，到达深圳市中正招标有限公司开标室，按工作人员指引进行签到。</w:t>
      </w:r>
    </w:p>
    <w:p w14:paraId="20CF65B0">
      <w:pPr>
        <w:keepNext w:val="0"/>
        <w:keepLines w:val="0"/>
        <w:pageBreakBefore w:val="0"/>
        <w:widowControl w:val="0"/>
        <w:kinsoku/>
        <w:overflowPunct/>
        <w:topLinePunct w:val="0"/>
        <w:autoSpaceDE/>
        <w:autoSpaceDN/>
        <w:bidi w:val="0"/>
        <w:spacing w:line="360" w:lineRule="auto"/>
        <w:ind w:firstLine="394" w:firstLineChars="187"/>
        <w:rPr>
          <w:rFonts w:hint="eastAsia" w:ascii="宋体" w:hAnsi="宋体" w:eastAsia="宋体" w:cs="宋体"/>
          <w:b/>
          <w:szCs w:val="21"/>
        </w:rPr>
      </w:pPr>
      <w:r>
        <w:rPr>
          <w:rFonts w:hint="eastAsia" w:ascii="宋体" w:hAnsi="宋体" w:eastAsia="宋体" w:cs="宋体"/>
          <w:b/>
          <w:szCs w:val="21"/>
          <w:highlight w:val="yellow"/>
        </w:rPr>
        <w:t>特别注意事项：（1）资料提供不齐全的，不予签到；（2）签到截止时间后不再受理签到；（3）未签到的人员，不能参与现场演示。</w:t>
      </w:r>
    </w:p>
    <w:p w14:paraId="435BCEEA">
      <w:pPr>
        <w:keepNext w:val="0"/>
        <w:keepLines w:val="0"/>
        <w:pageBreakBefore w:val="0"/>
        <w:widowControl w:val="0"/>
        <w:kinsoku/>
        <w:overflowPunct/>
        <w:topLinePunct w:val="0"/>
        <w:autoSpaceDE/>
        <w:autoSpaceDN/>
        <w:bidi w:val="0"/>
        <w:spacing w:line="360" w:lineRule="auto"/>
        <w:ind w:firstLine="392" w:firstLineChars="187"/>
        <w:rPr>
          <w:rFonts w:hint="eastAsia" w:ascii="宋体" w:hAnsi="宋体" w:eastAsia="宋体" w:cs="宋体"/>
          <w:szCs w:val="21"/>
        </w:rPr>
      </w:pPr>
      <w:r>
        <w:rPr>
          <w:rFonts w:hint="eastAsia" w:ascii="宋体" w:hAnsi="宋体" w:eastAsia="宋体" w:cs="宋体"/>
          <w:szCs w:val="21"/>
        </w:rPr>
        <w:t>（三）演示内容：</w:t>
      </w:r>
    </w:p>
    <w:p w14:paraId="1910B8C3">
      <w:pPr>
        <w:keepNext w:val="0"/>
        <w:keepLines w:val="0"/>
        <w:pageBreakBefore w:val="0"/>
        <w:widowControl w:val="0"/>
        <w:kinsoku/>
        <w:overflowPunct/>
        <w:topLinePunct w:val="0"/>
        <w:autoSpaceDE/>
        <w:autoSpaceDN/>
        <w:bidi w:val="0"/>
        <w:spacing w:line="360" w:lineRule="auto"/>
        <w:ind w:firstLine="420" w:firstLineChars="200"/>
        <w:rPr>
          <w:rFonts w:hint="eastAsia" w:ascii="宋体" w:hAnsi="宋体" w:eastAsia="宋体" w:cs="宋体"/>
          <w:szCs w:val="21"/>
        </w:rPr>
      </w:pPr>
      <w:r>
        <w:rPr>
          <w:rFonts w:hint="eastAsia" w:ascii="宋体" w:hAnsi="宋体" w:eastAsia="宋体" w:cs="宋体"/>
          <w:kern w:val="0"/>
          <w:szCs w:val="21"/>
        </w:rPr>
        <w:t>投标人依据项目采购需求，通过ppt</w:t>
      </w:r>
      <w:r>
        <w:rPr>
          <w:rFonts w:hint="default" w:ascii="宋体" w:hAnsi="宋体" w:cs="宋体"/>
          <w:kern w:val="0"/>
          <w:szCs w:val="21"/>
          <w:lang w:val="en-US"/>
        </w:rPr>
        <w:t>等</w:t>
      </w:r>
      <w:r>
        <w:rPr>
          <w:rFonts w:hint="eastAsia" w:ascii="宋体" w:hAnsi="宋体" w:eastAsia="宋体" w:cs="宋体"/>
          <w:kern w:val="0"/>
          <w:szCs w:val="21"/>
        </w:rPr>
        <w:t>形式（内容可以包括效果图及构思等）进行讲解。</w:t>
      </w:r>
    </w:p>
    <w:p w14:paraId="558F8AAC">
      <w:pPr>
        <w:keepNext w:val="0"/>
        <w:keepLines w:val="0"/>
        <w:pageBreakBefore w:val="0"/>
        <w:widowControl w:val="0"/>
        <w:numPr>
          <w:ilvl w:val="-1"/>
          <w:numId w:val="0"/>
        </w:numPr>
        <w:kinsoku/>
        <w:wordWrap w:val="0"/>
        <w:overflowPunct/>
        <w:topLinePunct w:val="0"/>
        <w:autoSpaceDE/>
        <w:autoSpaceDN/>
        <w:bidi w:val="0"/>
        <w:spacing w:line="360" w:lineRule="auto"/>
        <w:jc w:val="left"/>
        <w:rPr>
          <w:rFonts w:hint="eastAsia" w:ascii="宋体" w:hAnsi="宋体" w:eastAsia="宋体" w:cs="宋体"/>
          <w:lang w:val="en-US" w:eastAsia="zh-CN"/>
        </w:rPr>
      </w:pPr>
      <w:r>
        <w:rPr>
          <w:rFonts w:hint="eastAsia" w:ascii="宋体" w:hAnsi="宋体" w:eastAsia="宋体" w:cs="宋体"/>
          <w:kern w:val="0"/>
          <w:szCs w:val="21"/>
        </w:rPr>
        <w:t>包括但不限于以下内容：</w:t>
      </w:r>
      <w:r>
        <w:rPr>
          <w:rFonts w:hint="eastAsia" w:ascii="宋体" w:hAnsi="宋体" w:eastAsia="宋体" w:cs="宋体"/>
          <w:kern w:val="0"/>
          <w:szCs w:val="21"/>
          <w:lang w:val="en-US" w:eastAsia="zh-CN"/>
        </w:rPr>
        <w:t>项目服务方案及宣传配套方案</w:t>
      </w:r>
      <w:r>
        <w:rPr>
          <w:rFonts w:hint="eastAsia" w:ascii="宋体" w:hAnsi="宋体" w:eastAsia="宋体" w:cs="宋体"/>
          <w:kern w:val="0"/>
          <w:szCs w:val="21"/>
        </w:rPr>
        <w:t>。</w:t>
      </w:r>
    </w:p>
    <w:p w14:paraId="5F35A021">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kern w:val="0"/>
          <w:sz w:val="28"/>
          <w:szCs w:val="28"/>
        </w:rPr>
      </w:pPr>
    </w:p>
    <w:p w14:paraId="79205260">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kern w:val="0"/>
          <w:sz w:val="28"/>
          <w:szCs w:val="28"/>
        </w:rPr>
      </w:pPr>
      <w:r>
        <w:rPr>
          <w:rFonts w:hint="eastAsia" w:ascii="宋体" w:hAnsi="宋体" w:eastAsia="宋体" w:cs="宋体"/>
          <w:b/>
          <w:kern w:val="0"/>
          <w:sz w:val="28"/>
          <w:szCs w:val="28"/>
          <w:lang w:val="en-US" w:eastAsia="zh-CN"/>
        </w:rPr>
        <w:t>七</w:t>
      </w:r>
      <w:r>
        <w:rPr>
          <w:rFonts w:hint="eastAsia" w:ascii="宋体" w:hAnsi="宋体" w:eastAsia="宋体" w:cs="宋体"/>
          <w:b/>
          <w:kern w:val="0"/>
          <w:sz w:val="28"/>
          <w:szCs w:val="28"/>
        </w:rPr>
        <w:t>、其他要求</w:t>
      </w:r>
    </w:p>
    <w:p w14:paraId="05E3A966">
      <w:pPr>
        <w:keepNext w:val="0"/>
        <w:keepLines w:val="0"/>
        <w:pageBreakBefore w:val="0"/>
        <w:widowControl w:val="0"/>
        <w:kinsoku/>
        <w:overflowPunct/>
        <w:topLinePunct w:val="0"/>
        <w:autoSpaceDE/>
        <w:autoSpaceDN/>
        <w:bidi w:val="0"/>
        <w:spacing w:line="360" w:lineRule="auto"/>
        <w:ind w:firstLine="426"/>
        <w:rPr>
          <w:rFonts w:ascii="宋体" w:hAnsi="宋体" w:eastAsiaTheme="minorEastAsia"/>
          <w:kern w:val="0"/>
          <w:szCs w:val="21"/>
          <w:lang w:val="zh-CN"/>
        </w:rPr>
      </w:pPr>
      <w:r>
        <w:rPr>
          <w:rFonts w:hint="eastAsia" w:ascii="宋体" w:hAnsi="宋体" w:eastAsia="宋体" w:cs="宋体"/>
          <w:b/>
          <w:bCs/>
          <w:kern w:val="0"/>
          <w:szCs w:val="21"/>
          <w:highlight w:val="yellow"/>
          <w:lang w:val="zh-CN"/>
        </w:rPr>
        <w:t>★</w:t>
      </w:r>
      <w:r>
        <w:rPr>
          <w:rFonts w:hint="eastAsia" w:ascii="宋体" w:hAnsi="宋体" w:eastAsia="宋体" w:cs="宋体"/>
          <w:b/>
          <w:bCs/>
          <w:highlight w:val="yellow"/>
        </w:rPr>
        <w:t>投标供应商须提供法定代表人（负责人）</w:t>
      </w:r>
      <w:r>
        <w:rPr>
          <w:rFonts w:hint="eastAsia" w:ascii="宋体" w:hAnsi="宋体" w:eastAsia="宋体" w:cs="宋体"/>
          <w:b/>
          <w:bCs/>
          <w:szCs w:val="21"/>
          <w:highlight w:val="yellow"/>
        </w:rPr>
        <w:t>和</w:t>
      </w:r>
      <w:r>
        <w:rPr>
          <w:rFonts w:hint="eastAsia" w:ascii="宋体" w:hAnsi="宋体" w:eastAsia="宋体" w:cs="宋体"/>
          <w:b/>
          <w:bCs/>
          <w:highlight w:val="yellow"/>
        </w:rPr>
        <w:t>项目投标授权代表人在开标日前近一个月的个人社保缴纳查询记录（不限定缴纳单位）；因主管部门原因近一个月的社保证明暂时无法提供的，可往前顺延一个月；无社保缴纳记录或无法提供的需提供相关说明（格式自拟）。未按要求提供材料或投标供应商之间存在法定代表人（负责人）、项目投标授权代表人为同一人、属同一单位或者在同一单位缴纳社保的，按投标无效处理</w:t>
      </w:r>
      <w:r>
        <w:rPr>
          <w:rFonts w:hint="eastAsia" w:ascii="宋体" w:hAnsi="宋体" w:eastAsia="宋体" w:cs="宋体"/>
          <w:b/>
          <w:bCs/>
          <w:kern w:val="0"/>
          <w:szCs w:val="21"/>
          <w:highlight w:val="yellow"/>
          <w:lang w:val="zh-CN"/>
        </w:rPr>
        <w:t>。</w:t>
      </w:r>
    </w:p>
    <w:p w14:paraId="275EA290">
      <w:pPr>
        <w:spacing w:beforeLines="25" w:afterLines="25"/>
        <w:rPr>
          <w:rFonts w:ascii="宋体" w:hAnsi="宋体"/>
          <w:szCs w:val="21"/>
        </w:rPr>
      </w:pPr>
    </w:p>
    <w:p w14:paraId="3109961B">
      <w:pPr>
        <w:widowControl/>
        <w:jc w:val="left"/>
        <w:rPr>
          <w:rFonts w:ascii="宋体" w:hAnsi="宋体"/>
          <w:szCs w:val="21"/>
        </w:rPr>
      </w:pPr>
      <w:r>
        <w:rPr>
          <w:rFonts w:ascii="宋体" w:hAnsi="宋体"/>
          <w:szCs w:val="21"/>
        </w:rPr>
        <w:br w:type="page"/>
      </w:r>
    </w:p>
    <w:p w14:paraId="2406E7AC">
      <w:pPr>
        <w:keepNext/>
        <w:keepLines/>
        <w:adjustRightInd w:val="0"/>
        <w:spacing w:before="260" w:after="260"/>
        <w:jc w:val="center"/>
        <w:textAlignment w:val="baseline"/>
        <w:outlineLvl w:val="1"/>
        <w:rPr>
          <w:rFonts w:ascii="宋体" w:hAnsi="宋体"/>
          <w:b/>
          <w:bCs/>
          <w:sz w:val="24"/>
          <w:szCs w:val="20"/>
        </w:rPr>
      </w:pPr>
      <w:r>
        <w:rPr>
          <w:rFonts w:hint="eastAsia" w:ascii="宋体" w:hAnsi="宋体"/>
          <w:b/>
          <w:bCs/>
          <w:sz w:val="24"/>
          <w:szCs w:val="20"/>
        </w:rPr>
        <w:t>第三章</w:t>
      </w:r>
      <w:r>
        <w:rPr>
          <w:rFonts w:ascii="宋体" w:hAnsi="宋体"/>
          <w:b/>
          <w:bCs/>
          <w:sz w:val="24"/>
          <w:szCs w:val="20"/>
        </w:rPr>
        <w:t xml:space="preserve"> </w:t>
      </w:r>
      <w:r>
        <w:rPr>
          <w:rFonts w:hint="eastAsia" w:ascii="宋体" w:hAnsi="宋体"/>
          <w:b/>
          <w:bCs/>
          <w:sz w:val="24"/>
          <w:szCs w:val="20"/>
        </w:rPr>
        <w:t xml:space="preserve"> 投标文件格式、附件</w:t>
      </w:r>
    </w:p>
    <w:p w14:paraId="0923D626">
      <w:pPr>
        <w:rPr>
          <w:rFonts w:ascii="Times New Roman" w:hAnsi="Times New Roman"/>
          <w:b/>
          <w:bCs/>
          <w:sz w:val="24"/>
          <w:szCs w:val="32"/>
        </w:rPr>
      </w:pPr>
      <w:r>
        <w:rPr>
          <w:rFonts w:hint="eastAsia" w:ascii="Times New Roman" w:hAnsi="Times New Roman"/>
          <w:b/>
          <w:bCs/>
          <w:sz w:val="24"/>
          <w:szCs w:val="32"/>
        </w:rPr>
        <w:t>特别提醒：</w:t>
      </w:r>
    </w:p>
    <w:p w14:paraId="31224C80">
      <w:pPr>
        <w:rPr>
          <w:rFonts w:ascii="Times New Roman" w:hAnsi="Times New Roman"/>
          <w:b/>
          <w:bCs/>
          <w:sz w:val="24"/>
          <w:szCs w:val="32"/>
        </w:rPr>
      </w:pPr>
    </w:p>
    <w:p w14:paraId="53C2CE7D">
      <w:pPr>
        <w:widowControl/>
        <w:ind w:firstLine="482" w:firstLineChars="200"/>
        <w:jc w:val="left"/>
        <w:rPr>
          <w:rFonts w:ascii="仿宋_GB2312" w:hAnsi="Times New Roman" w:eastAsia="仿宋_GB2312"/>
          <w:kern w:val="0"/>
          <w:sz w:val="24"/>
          <w:szCs w:val="24"/>
        </w:rPr>
      </w:pPr>
      <w:r>
        <w:rPr>
          <w:rFonts w:hint="eastAsia" w:ascii="仿宋_GB2312" w:hAnsi="Times New Roman" w:eastAsia="仿宋_GB2312"/>
          <w:b/>
          <w:kern w:val="0"/>
          <w:sz w:val="24"/>
          <w:szCs w:val="24"/>
        </w:rPr>
        <w:t>投标文件正文将对外公开，投标文件附件不公开。</w:t>
      </w:r>
      <w:r>
        <w:rPr>
          <w:rFonts w:hint="eastAsia" w:ascii="仿宋_GB2312" w:hAnsi="Times New Roman" w:eastAsia="仿宋_GB2312"/>
          <w:kern w:val="0"/>
          <w:sz w:val="24"/>
          <w:szCs w:val="24"/>
        </w:rPr>
        <w:t>投标人在编辑投标文件时，在投标文件目录中属于本节点内容的必须在本节点中填写，填写到其他节点或附件的将可能导致投标无效，一切后果由供应商自行承担。</w:t>
      </w:r>
    </w:p>
    <w:p w14:paraId="5FC48F06">
      <w:pPr>
        <w:widowControl/>
        <w:jc w:val="left"/>
        <w:rPr>
          <w:rFonts w:ascii="仿宋_GB2312" w:hAnsi="Times New Roman" w:eastAsia="仿宋_GB2312"/>
          <w:kern w:val="0"/>
          <w:sz w:val="24"/>
          <w:szCs w:val="24"/>
        </w:rPr>
      </w:pPr>
      <w:r>
        <w:rPr>
          <w:rFonts w:hint="eastAsia" w:ascii="仿宋_GB2312" w:hAnsi="Times New Roman" w:eastAsia="仿宋_GB2312"/>
          <w:kern w:val="0"/>
          <w:sz w:val="24"/>
          <w:szCs w:val="24"/>
        </w:rPr>
        <w:t xml:space="preserve">    投标人应按招标文件规定的“投标文件组成”编制投标文件正文（信息公开部分）和投标文件附件（信息不公开部分），举例如下图：</w:t>
      </w:r>
    </w:p>
    <w:p w14:paraId="68809C76">
      <w:pPr>
        <w:widowControl/>
        <w:jc w:val="center"/>
        <w:rPr>
          <w:rFonts w:ascii="宋体" w:hAnsi="宋体" w:cs="宋体" w:eastAsiaTheme="minorEastAsia"/>
          <w:kern w:val="0"/>
          <w:sz w:val="24"/>
          <w:szCs w:val="24"/>
          <w:highlight w:val="green"/>
        </w:rPr>
      </w:pPr>
      <w:r>
        <w:rPr>
          <w:rFonts w:ascii="仿宋_GB2312" w:hAnsi="Times New Roman" w:eastAsia="仿宋_GB2312"/>
          <w:kern w:val="0"/>
          <w:sz w:val="24"/>
          <w:szCs w:val="24"/>
          <w:highlight w:val="green"/>
        </w:rPr>
        <w:drawing>
          <wp:inline distT="0" distB="0" distL="0" distR="0">
            <wp:extent cx="5278755" cy="4126230"/>
            <wp:effectExtent l="0" t="0" r="0" b="0"/>
            <wp:docPr id="2"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图形用户界面, 应用程序&#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755" cy="4126230"/>
                    </a:xfrm>
                    <a:prstGeom prst="rect">
                      <a:avLst/>
                    </a:prstGeom>
                    <a:noFill/>
                    <a:ln>
                      <a:noFill/>
                    </a:ln>
                  </pic:spPr>
                </pic:pic>
              </a:graphicData>
            </a:graphic>
          </wp:inline>
        </w:drawing>
      </w:r>
    </w:p>
    <w:p w14:paraId="0B81FD5B">
      <w:pPr>
        <w:widowControl/>
        <w:jc w:val="center"/>
        <w:rPr>
          <w:rFonts w:ascii="仿宋_GB2312" w:hAnsi="Times New Roman" w:eastAsia="仿宋_GB2312"/>
          <w:kern w:val="0"/>
          <w:sz w:val="24"/>
          <w:szCs w:val="24"/>
          <w:highlight w:val="green"/>
        </w:rPr>
      </w:pPr>
    </w:p>
    <w:p w14:paraId="18A6F924">
      <w:pPr>
        <w:widowControl/>
        <w:ind w:firstLine="480" w:firstLineChars="200"/>
        <w:jc w:val="left"/>
        <w:rPr>
          <w:rFonts w:ascii="仿宋_GB2312" w:hAnsi="Times New Roman" w:eastAsia="仿宋_GB2312"/>
          <w:b/>
          <w:kern w:val="0"/>
          <w:sz w:val="24"/>
          <w:szCs w:val="24"/>
        </w:rPr>
      </w:pPr>
      <w:bookmarkStart w:id="11" w:name="_Hlk72257167"/>
      <w:r>
        <w:rPr>
          <w:rFonts w:hint="eastAsia" w:ascii="仿宋_GB2312" w:hAnsi="Times New Roman" w:eastAsia="仿宋_GB2312"/>
          <w:kern w:val="0"/>
          <w:sz w:val="24"/>
          <w:szCs w:val="24"/>
        </w:rPr>
        <w:t>采购代理机构公布投标文件正文（信息公开部分）时为计算机截取信息自动公布，</w:t>
      </w:r>
      <w:r>
        <w:rPr>
          <w:rFonts w:hint="eastAsia" w:ascii="仿宋_GB2312" w:hAnsi="Times New Roman" w:eastAsia="仿宋_GB2312"/>
          <w:b/>
          <w:bCs/>
          <w:kern w:val="0"/>
          <w:sz w:val="24"/>
          <w:szCs w:val="24"/>
        </w:rPr>
        <w:t>如投标人误将涉及个人隐私或其他重要信息放入投标文件正文，相关后果由投标人自负；</w:t>
      </w:r>
      <w:r>
        <w:rPr>
          <w:rFonts w:hint="eastAsia" w:ascii="仿宋_GB2312" w:hAnsi="Times New Roman" w:eastAsia="仿宋_GB2312"/>
          <w:b/>
          <w:kern w:val="0"/>
          <w:sz w:val="24"/>
          <w:szCs w:val="24"/>
        </w:rPr>
        <w:t>如投标人将必须放于投标文件正文（信息公开部分）的内容放入投标文件附件（信息不公开部分），将作投标无效处理。</w:t>
      </w:r>
    </w:p>
    <w:bookmarkEnd w:id="11"/>
    <w:p w14:paraId="7E515474">
      <w:pPr>
        <w:rPr>
          <w:rFonts w:ascii="仿宋_GB2312" w:hAnsi="Times New Roman" w:eastAsia="仿宋_GB2312"/>
          <w:sz w:val="24"/>
          <w:szCs w:val="24"/>
        </w:rPr>
      </w:pPr>
    </w:p>
    <w:p w14:paraId="15806DB4">
      <w:pPr>
        <w:rPr>
          <w:rFonts w:ascii="宋体" w:hAnsi="宋体"/>
          <w:sz w:val="24"/>
        </w:rPr>
      </w:pPr>
      <w:r>
        <w:rPr>
          <w:rFonts w:hint="eastAsia" w:ascii="宋体" w:hAnsi="宋体"/>
          <w:sz w:val="24"/>
        </w:rPr>
        <w:t>投标文件组成：</w:t>
      </w:r>
    </w:p>
    <w:p w14:paraId="50A0857E">
      <w:pPr>
        <w:ind w:firstLine="424" w:firstLineChars="202"/>
        <w:rPr>
          <w:rFonts w:ascii="宋体" w:hAnsi="宋体"/>
          <w:sz w:val="24"/>
        </w:rPr>
      </w:pPr>
      <w:r>
        <w:rPr>
          <w:rFonts w:hint="eastAsia" w:ascii="宋体" w:hAnsi="宋体"/>
        </w:rPr>
        <w:t>1.</w:t>
      </w:r>
      <w:r>
        <w:rPr>
          <w:rFonts w:hint="eastAsia" w:ascii="宋体" w:hAnsi="宋体"/>
          <w:b/>
        </w:rPr>
        <w:t>投标文件正文</w:t>
      </w:r>
      <w:r>
        <w:rPr>
          <w:rFonts w:hint="eastAsia" w:ascii="宋体" w:hAnsi="宋体"/>
          <w:b/>
          <w:szCs w:val="21"/>
        </w:rPr>
        <w:t>（信息公开部分）</w:t>
      </w:r>
      <w:r>
        <w:rPr>
          <w:rFonts w:hint="eastAsia" w:ascii="宋体" w:hAnsi="宋体"/>
        </w:rPr>
        <w:t>，主要</w:t>
      </w:r>
      <w:r>
        <w:rPr>
          <w:rFonts w:hint="eastAsia" w:ascii="宋体" w:hAnsi="宋体"/>
          <w:szCs w:val="21"/>
        </w:rPr>
        <w:t>包括以下内容：</w:t>
      </w:r>
    </w:p>
    <w:p w14:paraId="63AFA962">
      <w:pPr>
        <w:spacing w:beforeLines="25" w:afterLines="25"/>
        <w:ind w:firstLine="991" w:firstLineChars="472"/>
        <w:rPr>
          <w:rFonts w:ascii="宋体" w:hAnsi="宋体"/>
          <w:szCs w:val="21"/>
        </w:rPr>
      </w:pPr>
      <w:r>
        <w:rPr>
          <w:rFonts w:hint="eastAsia" w:ascii="宋体" w:hAnsi="宋体"/>
          <w:szCs w:val="21"/>
        </w:rPr>
        <w:t>（1）投标函</w:t>
      </w:r>
    </w:p>
    <w:p w14:paraId="339A7119">
      <w:pPr>
        <w:spacing w:beforeLines="25" w:afterLines="25"/>
        <w:ind w:firstLine="991" w:firstLineChars="472"/>
        <w:rPr>
          <w:rFonts w:ascii="宋体" w:hAnsi="宋体"/>
          <w:szCs w:val="21"/>
        </w:rPr>
      </w:pPr>
      <w:r>
        <w:rPr>
          <w:rFonts w:hint="eastAsia" w:ascii="宋体" w:hAnsi="宋体"/>
          <w:szCs w:val="21"/>
        </w:rPr>
        <w:t>（2）资格响应文件</w:t>
      </w:r>
    </w:p>
    <w:p w14:paraId="7D1A3227">
      <w:pPr>
        <w:spacing w:beforeLines="25" w:afterLines="25"/>
        <w:ind w:firstLine="991" w:firstLineChars="472"/>
        <w:rPr>
          <w:rFonts w:ascii="宋体" w:hAnsi="宋体"/>
          <w:szCs w:val="21"/>
        </w:rPr>
      </w:pPr>
      <w:r>
        <w:rPr>
          <w:rFonts w:hint="eastAsia" w:ascii="宋体" w:hAnsi="宋体"/>
          <w:szCs w:val="21"/>
        </w:rPr>
        <w:t>（3）投标人情况介绍</w:t>
      </w:r>
    </w:p>
    <w:p w14:paraId="7BD78EA3">
      <w:pPr>
        <w:spacing w:beforeLines="25" w:afterLines="25"/>
        <w:ind w:firstLine="991" w:firstLineChars="472"/>
        <w:rPr>
          <w:rFonts w:ascii="宋体" w:hAnsi="宋体"/>
          <w:szCs w:val="21"/>
        </w:rPr>
      </w:pPr>
      <w:r>
        <w:rPr>
          <w:rFonts w:hint="eastAsia" w:ascii="宋体" w:hAnsi="宋体"/>
          <w:szCs w:val="21"/>
        </w:rPr>
        <w:t>（4）中小企业声明函等符合政府采购扶持政策的证明材料</w:t>
      </w:r>
    </w:p>
    <w:p w14:paraId="139059E4">
      <w:pPr>
        <w:rPr>
          <w:rFonts w:ascii="宋体" w:hAnsi="宋体"/>
          <w:sz w:val="24"/>
          <w:szCs w:val="24"/>
        </w:rPr>
      </w:pPr>
    </w:p>
    <w:p w14:paraId="7DACC599">
      <w:pPr>
        <w:ind w:firstLine="424" w:firstLineChars="202"/>
        <w:rPr>
          <w:rFonts w:ascii="宋体" w:hAnsi="宋体"/>
          <w:szCs w:val="21"/>
        </w:rPr>
      </w:pPr>
    </w:p>
    <w:p w14:paraId="47A39534">
      <w:pPr>
        <w:ind w:firstLine="424" w:firstLineChars="202"/>
        <w:rPr>
          <w:rFonts w:ascii="宋体" w:hAnsi="宋体"/>
          <w:szCs w:val="21"/>
        </w:rPr>
      </w:pPr>
      <w:r>
        <w:rPr>
          <w:rFonts w:hint="eastAsia" w:ascii="宋体" w:hAnsi="宋体"/>
          <w:szCs w:val="21"/>
        </w:rPr>
        <w:t>2.</w:t>
      </w:r>
      <w:r>
        <w:rPr>
          <w:rFonts w:hint="eastAsia" w:ascii="宋体" w:hAnsi="宋体"/>
          <w:b/>
          <w:szCs w:val="21"/>
        </w:rPr>
        <w:t>投标文件附件（信息不公开部分）</w:t>
      </w:r>
      <w:r>
        <w:rPr>
          <w:rFonts w:hint="eastAsia" w:ascii="宋体" w:hAnsi="宋体"/>
          <w:szCs w:val="21"/>
        </w:rPr>
        <w:t>，主要包括以下内容：</w:t>
      </w:r>
    </w:p>
    <w:p w14:paraId="24BDF5B3">
      <w:pPr>
        <w:spacing w:beforeLines="25" w:afterLines="25"/>
        <w:ind w:firstLine="991" w:firstLineChars="472"/>
        <w:rPr>
          <w:rFonts w:ascii="宋体" w:hAnsi="宋体"/>
          <w:szCs w:val="21"/>
        </w:rPr>
      </w:pPr>
      <w:r>
        <w:rPr>
          <w:rFonts w:hint="eastAsia" w:ascii="宋体" w:hAnsi="宋体"/>
          <w:szCs w:val="21"/>
        </w:rPr>
        <w:t>（5）政府采购违法行为风险知悉确认书</w:t>
      </w:r>
    </w:p>
    <w:p w14:paraId="6FD1C15A">
      <w:pPr>
        <w:spacing w:beforeLines="25" w:afterLines="25"/>
        <w:ind w:firstLine="991" w:firstLineChars="472"/>
        <w:rPr>
          <w:rFonts w:ascii="宋体" w:hAnsi="宋体"/>
          <w:szCs w:val="21"/>
        </w:rPr>
      </w:pPr>
      <w:r>
        <w:rPr>
          <w:rFonts w:hint="eastAsia" w:ascii="宋体" w:hAnsi="宋体"/>
          <w:szCs w:val="21"/>
        </w:rPr>
        <w:t>（6）法定代表人（负责人）资格证明书</w:t>
      </w:r>
    </w:p>
    <w:p w14:paraId="5DABB6D9">
      <w:pPr>
        <w:spacing w:beforeLines="25" w:afterLines="25"/>
        <w:ind w:firstLine="991" w:firstLineChars="472"/>
        <w:rPr>
          <w:rFonts w:ascii="宋体" w:hAnsi="宋体"/>
          <w:szCs w:val="21"/>
        </w:rPr>
      </w:pPr>
      <w:r>
        <w:rPr>
          <w:rFonts w:hint="eastAsia" w:ascii="宋体" w:hAnsi="宋体"/>
          <w:szCs w:val="21"/>
        </w:rPr>
        <w:t>（7）投标文件签署授权委托书</w:t>
      </w:r>
    </w:p>
    <w:p w14:paraId="17236CF9">
      <w:pPr>
        <w:spacing w:beforeLines="25" w:afterLines="25"/>
        <w:ind w:firstLine="991" w:firstLineChars="472"/>
        <w:rPr>
          <w:rFonts w:ascii="宋体" w:hAnsi="宋体"/>
          <w:szCs w:val="21"/>
        </w:rPr>
      </w:pPr>
      <w:r>
        <w:rPr>
          <w:rFonts w:hint="eastAsia" w:ascii="宋体" w:hAnsi="宋体"/>
          <w:szCs w:val="21"/>
        </w:rPr>
        <w:t>（8）实质性条款响应情况表</w:t>
      </w:r>
    </w:p>
    <w:p w14:paraId="3600EBE0">
      <w:pPr>
        <w:spacing w:beforeLines="25" w:afterLines="25"/>
        <w:ind w:firstLine="991" w:firstLineChars="472"/>
        <w:rPr>
          <w:rFonts w:ascii="宋体" w:hAnsi="宋体"/>
          <w:szCs w:val="21"/>
        </w:rPr>
      </w:pPr>
      <w:r>
        <w:rPr>
          <w:rFonts w:hint="eastAsia" w:ascii="宋体" w:hAnsi="宋体"/>
          <w:szCs w:val="21"/>
        </w:rPr>
        <w:t>（9）详细分项报价清单</w:t>
      </w:r>
    </w:p>
    <w:p w14:paraId="165027A1">
      <w:pPr>
        <w:spacing w:beforeLines="25" w:afterLines="25"/>
        <w:ind w:firstLine="991" w:firstLineChars="472"/>
        <w:rPr>
          <w:rFonts w:ascii="宋体" w:hAnsi="宋体"/>
          <w:szCs w:val="21"/>
        </w:rPr>
      </w:pPr>
      <w:r>
        <w:rPr>
          <w:rFonts w:hint="eastAsia" w:ascii="宋体" w:hAnsi="宋体"/>
          <w:szCs w:val="21"/>
        </w:rPr>
        <w:t>（10）服务要求</w:t>
      </w:r>
      <w:r>
        <w:rPr>
          <w:rFonts w:ascii="宋体" w:hAnsi="宋体"/>
          <w:szCs w:val="21"/>
        </w:rPr>
        <w:t>偏离表</w:t>
      </w:r>
    </w:p>
    <w:p w14:paraId="54B85592">
      <w:pPr>
        <w:spacing w:beforeLines="25" w:afterLines="25"/>
        <w:ind w:firstLine="991" w:firstLineChars="472"/>
        <w:rPr>
          <w:rFonts w:ascii="宋体" w:hAnsi="宋体"/>
          <w:szCs w:val="21"/>
        </w:rPr>
      </w:pPr>
      <w:r>
        <w:rPr>
          <w:rFonts w:hint="eastAsia" w:ascii="宋体" w:hAnsi="宋体"/>
          <w:szCs w:val="21"/>
        </w:rPr>
        <w:t>（11）</w:t>
      </w:r>
      <w:r>
        <w:rPr>
          <w:rFonts w:ascii="宋体" w:hAnsi="宋体"/>
          <w:szCs w:val="21"/>
        </w:rPr>
        <w:t>商务</w:t>
      </w:r>
      <w:r>
        <w:rPr>
          <w:rFonts w:hint="eastAsia" w:ascii="宋体" w:hAnsi="宋体"/>
          <w:szCs w:val="21"/>
        </w:rPr>
        <w:t>要求</w:t>
      </w:r>
      <w:r>
        <w:rPr>
          <w:rFonts w:ascii="宋体" w:hAnsi="宋体"/>
          <w:szCs w:val="21"/>
        </w:rPr>
        <w:t>偏离表</w:t>
      </w:r>
    </w:p>
    <w:p w14:paraId="7D22F284">
      <w:pPr>
        <w:spacing w:beforeLines="25" w:afterLines="25"/>
        <w:ind w:firstLine="991" w:firstLineChars="472"/>
        <w:rPr>
          <w:rFonts w:hint="eastAsia" w:asciiTheme="minorEastAsia" w:hAnsiTheme="minorEastAsia" w:eastAsiaTheme="minorEastAsia"/>
          <w:szCs w:val="21"/>
        </w:rPr>
      </w:pPr>
      <w:r>
        <w:rPr>
          <w:rFonts w:hint="eastAsia" w:ascii="宋体" w:hAnsi="宋体"/>
          <w:szCs w:val="21"/>
        </w:rPr>
        <w:t>（12）</w:t>
      </w:r>
      <w:r>
        <w:rPr>
          <w:rFonts w:hint="eastAsia" w:asciiTheme="minorEastAsia" w:hAnsiTheme="minorEastAsia" w:eastAsiaTheme="minorEastAsia"/>
          <w:szCs w:val="21"/>
        </w:rPr>
        <w:t>策划方案</w:t>
      </w:r>
    </w:p>
    <w:p w14:paraId="40179ABC">
      <w:pPr>
        <w:spacing w:beforeLines="25" w:afterLines="25"/>
        <w:ind w:firstLine="991" w:firstLineChars="472"/>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13</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实施方案</w:t>
      </w:r>
    </w:p>
    <w:p w14:paraId="3261A415">
      <w:pPr>
        <w:spacing w:beforeLines="25" w:afterLines="25"/>
        <w:ind w:firstLine="991" w:firstLineChars="472"/>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14</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现场演示</w:t>
      </w:r>
    </w:p>
    <w:p w14:paraId="036ED0D1">
      <w:pPr>
        <w:spacing w:beforeLines="25" w:afterLines="25"/>
        <w:ind w:firstLine="991" w:firstLineChars="472"/>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15</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项目重点难点分析、应对措施及相关的合理化建议</w:t>
      </w:r>
    </w:p>
    <w:p w14:paraId="4B967DC1">
      <w:pPr>
        <w:spacing w:beforeLines="25" w:afterLines="25"/>
        <w:ind w:firstLine="991" w:firstLineChars="472"/>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16</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违约承诺</w:t>
      </w:r>
    </w:p>
    <w:p w14:paraId="039267FB">
      <w:pPr>
        <w:spacing w:beforeLines="25" w:afterLines="25"/>
        <w:ind w:firstLine="991" w:firstLineChars="472"/>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17</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同类项目业绩情况</w:t>
      </w:r>
    </w:p>
    <w:p w14:paraId="47396FC0">
      <w:pPr>
        <w:spacing w:beforeLines="25" w:afterLines="25"/>
        <w:ind w:firstLine="991" w:firstLineChars="472"/>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18</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获奖（荣誉）情况</w:t>
      </w:r>
    </w:p>
    <w:p w14:paraId="31D84B3C">
      <w:pPr>
        <w:spacing w:beforeLines="25" w:afterLines="25"/>
        <w:ind w:firstLine="991" w:firstLineChars="472"/>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19</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拟安排的项目负责人（仅限1人）情况</w:t>
      </w:r>
    </w:p>
    <w:p w14:paraId="7A0D1C16">
      <w:pPr>
        <w:spacing w:beforeLines="25" w:afterLines="25"/>
        <w:ind w:firstLine="991" w:firstLineChars="472"/>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20</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拟安排的项目团队成员（项目负责人除外）情况</w:t>
      </w:r>
    </w:p>
    <w:p w14:paraId="5ECCAC01">
      <w:pPr>
        <w:spacing w:beforeLines="25" w:afterLines="25"/>
        <w:ind w:firstLine="991" w:firstLineChars="472"/>
        <w:rPr>
          <w:rFonts w:hint="eastAsia"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服务网点</w:t>
      </w:r>
    </w:p>
    <w:p w14:paraId="3F1DEF5A">
      <w:pPr>
        <w:spacing w:beforeLines="25" w:afterLines="25"/>
        <w:ind w:firstLine="991" w:firstLineChars="472"/>
        <w:rPr>
          <w:rFonts w:asciiTheme="minorEastAsia" w:hAnsiTheme="minorEastAsia" w:eastAsiaTheme="minorEastAsia"/>
          <w:szCs w:val="21"/>
        </w:rPr>
      </w:pP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22</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诚信评审</w:t>
      </w:r>
    </w:p>
    <w:p w14:paraId="01DFF1C9">
      <w:pPr>
        <w:spacing w:beforeLines="25" w:afterLines="25"/>
        <w:ind w:firstLine="991" w:firstLineChars="472"/>
        <w:rPr>
          <w:rFonts w:ascii="宋体" w:hAnsi="宋体"/>
          <w:szCs w:val="21"/>
        </w:rPr>
      </w:pPr>
      <w:r>
        <w:rPr>
          <w:rFonts w:hint="eastAsia" w:ascii="宋体" w:hAnsi="宋体"/>
          <w:szCs w:val="21"/>
        </w:rPr>
        <w:t>（</w:t>
      </w:r>
      <w:r>
        <w:rPr>
          <w:rFonts w:hint="eastAsia" w:ascii="宋体" w:hAnsi="宋体"/>
          <w:szCs w:val="21"/>
          <w:lang w:val="en-US" w:eastAsia="zh-CN"/>
        </w:rPr>
        <w:t>23</w:t>
      </w:r>
      <w:r>
        <w:rPr>
          <w:rFonts w:hint="eastAsia" w:ascii="宋体" w:hAnsi="宋体"/>
          <w:szCs w:val="21"/>
        </w:rPr>
        <w:t>）招标文件要求的其它内容或投标人认为需要补充的资料</w:t>
      </w:r>
    </w:p>
    <w:p w14:paraId="53AAE6DC">
      <w:pPr>
        <w:spacing w:beforeLines="25" w:afterLines="25"/>
        <w:rPr>
          <w:rFonts w:ascii="宋体" w:hAnsi="宋体"/>
          <w:szCs w:val="21"/>
        </w:rPr>
      </w:pPr>
    </w:p>
    <w:p w14:paraId="1131AD1A">
      <w:pPr>
        <w:widowControl/>
        <w:ind w:firstLine="487" w:firstLineChars="202"/>
        <w:jc w:val="left"/>
        <w:rPr>
          <w:rFonts w:ascii="宋体" w:hAnsi="宋体" w:eastAsiaTheme="minorEastAsia"/>
          <w:b/>
          <w:kern w:val="0"/>
          <w:sz w:val="24"/>
          <w:szCs w:val="21"/>
        </w:rPr>
      </w:pPr>
      <w:r>
        <w:rPr>
          <w:rFonts w:hint="eastAsia" w:ascii="宋体" w:hAnsi="宋体" w:eastAsiaTheme="minorEastAsia"/>
          <w:b/>
          <w:kern w:val="0"/>
          <w:sz w:val="24"/>
          <w:szCs w:val="21"/>
        </w:rPr>
        <w:t>备注：</w:t>
      </w:r>
    </w:p>
    <w:p w14:paraId="3B17A51F">
      <w:pPr>
        <w:widowControl/>
        <w:ind w:firstLine="487" w:firstLineChars="202"/>
        <w:jc w:val="left"/>
        <w:rPr>
          <w:rFonts w:ascii="宋体" w:hAnsi="宋体" w:eastAsiaTheme="minorEastAsia"/>
          <w:b/>
          <w:kern w:val="0"/>
          <w:sz w:val="24"/>
          <w:szCs w:val="21"/>
        </w:rPr>
      </w:pPr>
      <w:r>
        <w:rPr>
          <w:rFonts w:hint="eastAsia" w:ascii="宋体" w:hAnsi="宋体" w:eastAsiaTheme="minorEastAsia"/>
          <w:b/>
          <w:kern w:val="0"/>
          <w:sz w:val="24"/>
          <w:szCs w:val="21"/>
        </w:rPr>
        <w:t>1.本项目为网上电子投标项目，投标文件不需法人或授权委托人另行签字，无需加盖单位公章，招标文件专用条款另有规定的除外。</w:t>
      </w:r>
    </w:p>
    <w:p w14:paraId="443E580A">
      <w:pPr>
        <w:widowControl/>
        <w:ind w:firstLine="487" w:firstLineChars="202"/>
        <w:jc w:val="left"/>
        <w:rPr>
          <w:rFonts w:ascii="宋体" w:hAnsi="宋体" w:eastAsiaTheme="minorEastAsia"/>
          <w:b/>
          <w:kern w:val="0"/>
          <w:sz w:val="24"/>
          <w:szCs w:val="21"/>
        </w:rPr>
      </w:pPr>
      <w:r>
        <w:rPr>
          <w:rFonts w:hint="eastAsia" w:ascii="宋体" w:hAnsi="宋体" w:eastAsiaTheme="minorEastAsia"/>
          <w:b/>
          <w:kern w:val="0"/>
          <w:sz w:val="24"/>
          <w:szCs w:val="21"/>
        </w:rPr>
        <w:t>2.关于填写“开标一览表”的说明：“开标一览表”中除“投标报价”外，其他信息不作为评审依据。</w:t>
      </w:r>
    </w:p>
    <w:p w14:paraId="1CDFBAE2">
      <w:pPr>
        <w:widowControl/>
        <w:jc w:val="left"/>
        <w:rPr>
          <w:rFonts w:ascii="宋体" w:hAnsi="宋体"/>
          <w:szCs w:val="21"/>
        </w:rPr>
      </w:pPr>
      <w:r>
        <w:rPr>
          <w:rFonts w:ascii="宋体" w:hAnsi="宋体"/>
          <w:szCs w:val="21"/>
        </w:rPr>
        <w:br w:type="page"/>
      </w:r>
    </w:p>
    <w:p w14:paraId="6C5BE8FC">
      <w:pPr>
        <w:keepNext w:val="0"/>
        <w:keepLines w:val="0"/>
        <w:pageBreakBefore w:val="0"/>
        <w:widowControl w:val="0"/>
        <w:kinsoku/>
        <w:wordWrap/>
        <w:overflowPunct/>
        <w:topLinePunct w:val="0"/>
        <w:autoSpaceDE/>
        <w:autoSpaceDN/>
        <w:bidi w:val="0"/>
        <w:textAlignment w:val="auto"/>
        <w:rPr>
          <w:rFonts w:ascii="仿宋_GB2312" w:hAnsi="Times New Roman" w:eastAsia="仿宋_GB2312"/>
          <w:b/>
          <w:color w:val="FF0000"/>
          <w:sz w:val="30"/>
          <w:szCs w:val="30"/>
        </w:rPr>
      </w:pPr>
      <w:r>
        <w:rPr>
          <w:rFonts w:hint="eastAsia" w:ascii="仿宋_GB2312" w:hAnsi="Times New Roman" w:eastAsia="仿宋_GB2312"/>
          <w:b/>
          <w:color w:val="FF0000"/>
          <w:sz w:val="30"/>
          <w:szCs w:val="30"/>
        </w:rPr>
        <w:t>投标文件正文（信息公开部分）：</w:t>
      </w:r>
    </w:p>
    <w:p w14:paraId="0E91791E">
      <w:pPr>
        <w:pStyle w:val="4"/>
        <w:keepNext w:val="0"/>
        <w:keepLines w:val="0"/>
        <w:pageBreakBefore w:val="0"/>
        <w:widowControl w:val="0"/>
        <w:kinsoku/>
        <w:wordWrap/>
        <w:overflowPunct/>
        <w:topLinePunct w:val="0"/>
        <w:autoSpaceDE/>
        <w:autoSpaceDN/>
        <w:bidi w:val="0"/>
        <w:jc w:val="center"/>
        <w:textAlignment w:val="auto"/>
        <w:rPr>
          <w:rFonts w:ascii="黑体" w:eastAsia="黑体"/>
          <w:b w:val="0"/>
          <w:sz w:val="24"/>
        </w:rPr>
      </w:pPr>
      <w:r>
        <w:rPr>
          <w:rFonts w:hint="eastAsia" w:ascii="黑体" w:eastAsia="黑体"/>
          <w:b w:val="0"/>
          <w:sz w:val="24"/>
        </w:rPr>
        <w:t>一、投标函</w:t>
      </w:r>
    </w:p>
    <w:p w14:paraId="1DA6238E">
      <w:pPr>
        <w:keepNext w:val="0"/>
        <w:keepLines w:val="0"/>
        <w:pageBreakBefore w:val="0"/>
        <w:widowControl w:val="0"/>
        <w:kinsoku/>
        <w:wordWrap/>
        <w:overflowPunct/>
        <w:topLinePunct w:val="0"/>
        <w:autoSpaceDE/>
        <w:autoSpaceDN/>
        <w:bidi w:val="0"/>
        <w:spacing w:line="360" w:lineRule="auto"/>
        <w:textAlignment w:val="auto"/>
        <w:rPr>
          <w:rFonts w:ascii="宋体" w:hAnsi="宋体"/>
          <w:szCs w:val="21"/>
        </w:rPr>
      </w:pPr>
      <w:r>
        <w:rPr>
          <w:rFonts w:hint="eastAsia" w:ascii="宋体" w:hAnsi="宋体"/>
          <w:szCs w:val="21"/>
        </w:rPr>
        <w:t xml:space="preserve">深圳市中正招标有限公司：  </w:t>
      </w:r>
    </w:p>
    <w:p w14:paraId="4091F3BF">
      <w:pPr>
        <w:keepNext w:val="0"/>
        <w:keepLines w:val="0"/>
        <w:pageBreakBefore w:val="0"/>
        <w:widowControl w:val="0"/>
        <w:kinsoku/>
        <w:wordWrap/>
        <w:overflowPunct/>
        <w:topLinePunct w:val="0"/>
        <w:autoSpaceDE/>
        <w:autoSpaceDN/>
        <w:bidi w:val="0"/>
        <w:spacing w:afterLines="50"/>
        <w:ind w:firstLine="420" w:firstLineChars="200"/>
        <w:textAlignment w:val="auto"/>
        <w:rPr>
          <w:szCs w:val="21"/>
        </w:rPr>
      </w:pPr>
      <w:r>
        <w:rPr>
          <w:rFonts w:hint="eastAsia"/>
          <w:szCs w:val="21"/>
        </w:rPr>
        <w:t>1.根据已收到贵方的（项目编号为</w:t>
      </w:r>
      <w:r>
        <w:rPr>
          <w:rFonts w:hint="eastAsia"/>
          <w:szCs w:val="21"/>
          <w:u w:val="single"/>
        </w:rPr>
        <w:t xml:space="preserve">                   </w:t>
      </w:r>
      <w:r>
        <w:rPr>
          <w:rFonts w:hint="eastAsia"/>
          <w:szCs w:val="21"/>
        </w:rPr>
        <w:t>）的（</w:t>
      </w:r>
      <w:r>
        <w:rPr>
          <w:rFonts w:hint="eastAsia"/>
          <w:szCs w:val="21"/>
          <w:u w:val="single"/>
        </w:rPr>
        <w:t xml:space="preserve">                   </w:t>
      </w:r>
      <w:r>
        <w:rPr>
          <w:rFonts w:hint="eastAsia"/>
          <w:szCs w:val="21"/>
        </w:rPr>
        <w:t>项目）的招标文件，遵照《深圳经济特区政府采购条例》和《深圳网上政府采购管理暂行办法》等有关规定，我方经研究上述招标文件的专用条款及通用条款后，愿以投标书编制软件中《开标一览表》中填写的投标报价并按招标文件要求承包上述项目并修补其任何缺陷。</w:t>
      </w:r>
    </w:p>
    <w:p w14:paraId="0684407F">
      <w:pPr>
        <w:keepNext w:val="0"/>
        <w:keepLines w:val="0"/>
        <w:pageBreakBefore w:val="0"/>
        <w:widowControl w:val="0"/>
        <w:kinsoku/>
        <w:wordWrap/>
        <w:overflowPunct/>
        <w:topLinePunct w:val="0"/>
        <w:autoSpaceDE/>
        <w:autoSpaceDN/>
        <w:bidi w:val="0"/>
        <w:spacing w:afterLines="50"/>
        <w:ind w:firstLine="420" w:firstLineChars="200"/>
        <w:textAlignment w:val="auto"/>
        <w:rPr>
          <w:szCs w:val="21"/>
        </w:rPr>
      </w:pPr>
      <w:r>
        <w:rPr>
          <w:szCs w:val="21"/>
        </w:rPr>
        <w:t>2</w:t>
      </w:r>
      <w:r>
        <w:rPr>
          <w:rFonts w:hint="eastAsia"/>
          <w:szCs w:val="21"/>
        </w:rPr>
        <w:t>.我方已认真核实了投标文件的全部资料，所有资料均为真实资料。我方对投标文件中全部投标资料的真实性负责，如被证实我方的投标文件中存在虚假资料的，则视为我方隐瞒真实情况、提供虚假资料，我方愿意接受主管部门作出的行政处罚。</w:t>
      </w:r>
    </w:p>
    <w:p w14:paraId="4440D0BB">
      <w:pPr>
        <w:keepNext w:val="0"/>
        <w:keepLines w:val="0"/>
        <w:pageBreakBefore w:val="0"/>
        <w:widowControl w:val="0"/>
        <w:kinsoku/>
        <w:wordWrap/>
        <w:overflowPunct/>
        <w:topLinePunct w:val="0"/>
        <w:autoSpaceDE/>
        <w:autoSpaceDN/>
        <w:bidi w:val="0"/>
        <w:spacing w:afterLines="50"/>
        <w:ind w:firstLine="411" w:firstLineChars="196"/>
        <w:textAlignment w:val="auto"/>
        <w:rPr>
          <w:rFonts w:ascii="宋体" w:hAnsi="宋体"/>
          <w:szCs w:val="21"/>
        </w:rPr>
      </w:pPr>
      <w:r>
        <w:rPr>
          <w:rFonts w:hint="eastAsia" w:ascii="宋体" w:hAnsi="宋体"/>
          <w:szCs w:val="21"/>
        </w:rPr>
        <w:t>3.我方同意所递交的投标文件在“对通用条款的补充内容”中的投标有效期内有效，在此期间内我方的投标有可能中标，我方将受此约束。</w:t>
      </w:r>
    </w:p>
    <w:p w14:paraId="63899B35">
      <w:pPr>
        <w:keepNext w:val="0"/>
        <w:keepLines w:val="0"/>
        <w:pageBreakBefore w:val="0"/>
        <w:widowControl w:val="0"/>
        <w:kinsoku/>
        <w:wordWrap/>
        <w:overflowPunct/>
        <w:topLinePunct w:val="0"/>
        <w:autoSpaceDE/>
        <w:autoSpaceDN/>
        <w:bidi w:val="0"/>
        <w:spacing w:afterLines="50"/>
        <w:ind w:firstLine="411" w:firstLineChars="196"/>
        <w:textAlignment w:val="auto"/>
        <w:rPr>
          <w:rFonts w:ascii="宋体" w:hAnsi="宋体"/>
          <w:szCs w:val="21"/>
        </w:rPr>
      </w:pPr>
      <w:r>
        <w:rPr>
          <w:rFonts w:hint="eastAsia" w:ascii="宋体" w:hAnsi="宋体"/>
          <w:szCs w:val="21"/>
        </w:rPr>
        <w:t>4.除非另外达成协议并生效，贵方的中标通知书和本投标文件将构成约束我们双方的合同。</w:t>
      </w:r>
    </w:p>
    <w:p w14:paraId="32B58958">
      <w:pPr>
        <w:keepNext w:val="0"/>
        <w:keepLines w:val="0"/>
        <w:pageBreakBefore w:val="0"/>
        <w:widowControl w:val="0"/>
        <w:kinsoku/>
        <w:wordWrap/>
        <w:overflowPunct/>
        <w:topLinePunct w:val="0"/>
        <w:autoSpaceDE/>
        <w:autoSpaceDN/>
        <w:bidi w:val="0"/>
        <w:spacing w:afterLines="50"/>
        <w:ind w:firstLine="411" w:firstLineChars="196"/>
        <w:textAlignment w:val="auto"/>
        <w:rPr>
          <w:rFonts w:ascii="宋体" w:hAnsi="宋体"/>
          <w:szCs w:val="21"/>
        </w:rPr>
      </w:pPr>
      <w:r>
        <w:rPr>
          <w:rFonts w:hint="eastAsia" w:ascii="宋体" w:hAnsi="宋体"/>
          <w:szCs w:val="21"/>
        </w:rPr>
        <w:t>5.我方理解贵方将不受必须接受你们所收到的最低标价或其它任何投标文件的约束。</w:t>
      </w:r>
    </w:p>
    <w:p w14:paraId="2BDCD7F5">
      <w:pPr>
        <w:keepNext w:val="0"/>
        <w:keepLines w:val="0"/>
        <w:pageBreakBefore w:val="0"/>
        <w:widowControl w:val="0"/>
        <w:kinsoku/>
        <w:wordWrap/>
        <w:overflowPunct/>
        <w:topLinePunct w:val="0"/>
        <w:autoSpaceDE/>
        <w:autoSpaceDN/>
        <w:bidi w:val="0"/>
        <w:spacing w:afterLines="50"/>
        <w:ind w:firstLine="411" w:firstLineChars="196"/>
        <w:textAlignment w:val="auto"/>
        <w:rPr>
          <w:rFonts w:ascii="宋体" w:hAnsi="宋体"/>
          <w:szCs w:val="21"/>
        </w:rPr>
      </w:pPr>
      <w:r>
        <w:rPr>
          <w:rFonts w:hint="eastAsia" w:ascii="宋体" w:hAnsi="宋体"/>
          <w:szCs w:val="21"/>
        </w:rPr>
        <w:t>6.</w:t>
      </w:r>
      <w:r>
        <w:rPr>
          <w:rFonts w:hint="eastAsia" w:asciiTheme="minorEastAsia" w:hAnsiTheme="minorEastAsia" w:eastAsiaTheme="minorEastAsia"/>
        </w:rPr>
        <w:t>我单位承诺在收到代理服务费缴费通知后7个工作日内领取中标（成交）通知书，逾期将视为我单位放弃中标（成交）资格。</w:t>
      </w:r>
    </w:p>
    <w:p w14:paraId="6692F303">
      <w:pPr>
        <w:keepNext w:val="0"/>
        <w:keepLines w:val="0"/>
        <w:pageBreakBefore w:val="0"/>
        <w:widowControl w:val="0"/>
        <w:kinsoku/>
        <w:wordWrap/>
        <w:overflowPunct/>
        <w:topLinePunct w:val="0"/>
        <w:autoSpaceDE/>
        <w:autoSpaceDN/>
        <w:bidi w:val="0"/>
        <w:ind w:left="540" w:leftChars="257"/>
        <w:textAlignment w:val="auto"/>
        <w:rPr>
          <w:szCs w:val="21"/>
          <w:u w:val="single"/>
        </w:rPr>
      </w:pPr>
      <w:r>
        <w:rPr>
          <w:rFonts w:hint="eastAsia"/>
          <w:szCs w:val="21"/>
        </w:rPr>
        <w:t>投标人：</w:t>
      </w:r>
      <w:r>
        <w:rPr>
          <w:rFonts w:hint="eastAsia"/>
          <w:szCs w:val="21"/>
          <w:u w:val="single"/>
        </w:rPr>
        <w:t xml:space="preserve">                   </w:t>
      </w:r>
      <w:r>
        <w:rPr>
          <w:rFonts w:hint="eastAsia"/>
          <w:szCs w:val="21"/>
        </w:rPr>
        <w:t xml:space="preserve">    单位地址：</w:t>
      </w:r>
      <w:r>
        <w:rPr>
          <w:rFonts w:hint="eastAsia"/>
          <w:szCs w:val="21"/>
          <w:u w:val="single"/>
        </w:rPr>
        <w:t xml:space="preserve">               </w:t>
      </w:r>
    </w:p>
    <w:p w14:paraId="6C2AE88D">
      <w:pPr>
        <w:keepNext w:val="0"/>
        <w:keepLines w:val="0"/>
        <w:pageBreakBefore w:val="0"/>
        <w:widowControl w:val="0"/>
        <w:kinsoku/>
        <w:wordWrap/>
        <w:overflowPunct/>
        <w:topLinePunct w:val="0"/>
        <w:autoSpaceDE/>
        <w:autoSpaceDN/>
        <w:bidi w:val="0"/>
        <w:ind w:left="540" w:leftChars="257"/>
        <w:textAlignment w:val="auto"/>
        <w:rPr>
          <w:szCs w:val="21"/>
          <w:u w:val="single"/>
        </w:rPr>
      </w:pPr>
      <w:r>
        <w:rPr>
          <w:rFonts w:hint="eastAsia"/>
          <w:szCs w:val="21"/>
        </w:rPr>
        <w:t>法定代表人或其委托代理人：</w:t>
      </w:r>
      <w:r>
        <w:rPr>
          <w:rFonts w:hint="eastAsia"/>
          <w:szCs w:val="21"/>
          <w:u w:val="single"/>
        </w:rPr>
        <w:t xml:space="preserve">                   </w:t>
      </w:r>
    </w:p>
    <w:p w14:paraId="22ABE654">
      <w:pPr>
        <w:keepNext w:val="0"/>
        <w:keepLines w:val="0"/>
        <w:pageBreakBefore w:val="0"/>
        <w:widowControl w:val="0"/>
        <w:kinsoku/>
        <w:wordWrap/>
        <w:overflowPunct/>
        <w:topLinePunct w:val="0"/>
        <w:autoSpaceDE/>
        <w:autoSpaceDN/>
        <w:bidi w:val="0"/>
        <w:ind w:left="540" w:leftChars="257"/>
        <w:textAlignment w:val="auto"/>
        <w:rPr>
          <w:szCs w:val="21"/>
          <w:u w:val="single"/>
        </w:rPr>
      </w:pPr>
      <w:r>
        <w:rPr>
          <w:rFonts w:hint="eastAsia"/>
          <w:szCs w:val="21"/>
        </w:rPr>
        <w:t>邮政编码：</w:t>
      </w:r>
      <w:r>
        <w:rPr>
          <w:rFonts w:hint="eastAsia"/>
          <w:szCs w:val="21"/>
          <w:u w:val="single"/>
        </w:rPr>
        <w:t xml:space="preserve">          </w:t>
      </w:r>
      <w:r>
        <w:rPr>
          <w:rFonts w:hint="eastAsia"/>
          <w:szCs w:val="21"/>
        </w:rPr>
        <w:t xml:space="preserve">  电话：</w:t>
      </w:r>
      <w:r>
        <w:rPr>
          <w:rFonts w:hint="eastAsia"/>
          <w:szCs w:val="21"/>
          <w:u w:val="single"/>
        </w:rPr>
        <w:t xml:space="preserve">          </w:t>
      </w:r>
      <w:r>
        <w:rPr>
          <w:rFonts w:hint="eastAsia"/>
          <w:szCs w:val="21"/>
        </w:rPr>
        <w:t xml:space="preserve">  传真：</w:t>
      </w:r>
      <w:r>
        <w:rPr>
          <w:rFonts w:hint="eastAsia"/>
          <w:szCs w:val="21"/>
          <w:u w:val="single"/>
        </w:rPr>
        <w:t xml:space="preserve">            </w:t>
      </w:r>
    </w:p>
    <w:p w14:paraId="711993B5">
      <w:pPr>
        <w:keepNext w:val="0"/>
        <w:keepLines w:val="0"/>
        <w:pageBreakBefore w:val="0"/>
        <w:widowControl w:val="0"/>
        <w:kinsoku/>
        <w:wordWrap/>
        <w:overflowPunct/>
        <w:topLinePunct w:val="0"/>
        <w:autoSpaceDE/>
        <w:autoSpaceDN/>
        <w:bidi w:val="0"/>
        <w:ind w:left="540" w:leftChars="257"/>
        <w:textAlignment w:val="auto"/>
        <w:rPr>
          <w:szCs w:val="21"/>
        </w:rPr>
      </w:pPr>
      <w:r>
        <w:rPr>
          <w:rFonts w:hint="eastAsia"/>
          <w:szCs w:val="21"/>
        </w:rPr>
        <w:t>开户银行名称：</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开户银行帐号：</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70244581">
      <w:pPr>
        <w:keepNext w:val="0"/>
        <w:keepLines w:val="0"/>
        <w:pageBreakBefore w:val="0"/>
        <w:widowControl w:val="0"/>
        <w:kinsoku/>
        <w:wordWrap/>
        <w:overflowPunct/>
        <w:topLinePunct w:val="0"/>
        <w:autoSpaceDE/>
        <w:autoSpaceDN/>
        <w:bidi w:val="0"/>
        <w:ind w:left="540" w:leftChars="257"/>
        <w:textAlignment w:val="auto"/>
        <w:rPr>
          <w:szCs w:val="21"/>
        </w:rPr>
      </w:pPr>
      <w:r>
        <w:rPr>
          <w:rFonts w:hint="eastAsia"/>
          <w:szCs w:val="21"/>
        </w:rPr>
        <w:t>开户银行地址：</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r>
        <w:rPr>
          <w:rFonts w:hint="eastAsia"/>
          <w:szCs w:val="21"/>
        </w:rPr>
        <w:tab/>
      </w:r>
      <w:r>
        <w:rPr>
          <w:rFonts w:hint="eastAsia"/>
          <w:szCs w:val="21"/>
        </w:rPr>
        <w:t>开户银行电话：</w:t>
      </w:r>
      <w:r>
        <w:rPr>
          <w:rFonts w:hint="eastAsia"/>
          <w:szCs w:val="21"/>
          <w:u w:val="single"/>
        </w:rPr>
        <w:tab/>
      </w:r>
      <w:r>
        <w:rPr>
          <w:rFonts w:hint="eastAsia"/>
          <w:szCs w:val="21"/>
          <w:u w:val="single"/>
        </w:rPr>
        <w:tab/>
      </w:r>
      <w:r>
        <w:rPr>
          <w:rFonts w:hint="eastAsia"/>
          <w:szCs w:val="21"/>
          <w:u w:val="single"/>
        </w:rPr>
        <w:tab/>
      </w:r>
      <w:r>
        <w:rPr>
          <w:rFonts w:hint="eastAsia"/>
          <w:szCs w:val="21"/>
          <w:u w:val="single"/>
        </w:rPr>
        <w:tab/>
      </w:r>
    </w:p>
    <w:p w14:paraId="163C24D2">
      <w:pPr>
        <w:keepNext w:val="0"/>
        <w:keepLines w:val="0"/>
        <w:pageBreakBefore w:val="0"/>
        <w:widowControl w:val="0"/>
        <w:kinsoku/>
        <w:wordWrap/>
        <w:overflowPunct/>
        <w:topLinePunct w:val="0"/>
        <w:autoSpaceDE/>
        <w:autoSpaceDN/>
        <w:bidi w:val="0"/>
        <w:ind w:firstLine="539" w:firstLineChars="257"/>
        <w:textAlignment w:val="auto"/>
        <w:rPr>
          <w:sz w:val="24"/>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sz w:val="24"/>
        </w:rPr>
        <w:t xml:space="preserve">    </w:t>
      </w:r>
    </w:p>
    <w:p w14:paraId="5DA9D7EC">
      <w:pPr>
        <w:keepNext w:val="0"/>
        <w:keepLines w:val="0"/>
        <w:pageBreakBefore w:val="0"/>
        <w:widowControl w:val="0"/>
        <w:kinsoku/>
        <w:wordWrap/>
        <w:overflowPunct/>
        <w:topLinePunct w:val="0"/>
        <w:autoSpaceDE/>
        <w:autoSpaceDN/>
        <w:bidi w:val="0"/>
        <w:ind w:firstLine="616" w:firstLineChars="257"/>
        <w:textAlignment w:val="auto"/>
        <w:rPr>
          <w:sz w:val="24"/>
        </w:rPr>
      </w:pPr>
    </w:p>
    <w:p w14:paraId="4E7306C1">
      <w:pPr>
        <w:keepNext w:val="0"/>
        <w:keepLines w:val="0"/>
        <w:pageBreakBefore w:val="0"/>
        <w:widowControl w:val="0"/>
        <w:kinsoku/>
        <w:wordWrap/>
        <w:overflowPunct/>
        <w:topLinePunct w:val="0"/>
        <w:autoSpaceDE/>
        <w:autoSpaceDN/>
        <w:bidi w:val="0"/>
        <w:textAlignment w:val="auto"/>
        <w:rPr>
          <w:rFonts w:ascii="宋体" w:hAnsi="宋体"/>
          <w:szCs w:val="21"/>
        </w:rPr>
      </w:pPr>
      <w:r>
        <w:rPr>
          <w:rFonts w:hint="eastAsia"/>
          <w:szCs w:val="21"/>
          <w:u w:val="single"/>
        </w:rPr>
        <w:t>（备注：如联合体投标，投标人一栏仅需填写牵头人的名称）</w:t>
      </w:r>
    </w:p>
    <w:p w14:paraId="5805896D">
      <w:pPr>
        <w:keepNext w:val="0"/>
        <w:keepLines w:val="0"/>
        <w:pageBreakBefore w:val="0"/>
        <w:widowControl w:val="0"/>
        <w:kinsoku/>
        <w:wordWrap/>
        <w:overflowPunct/>
        <w:topLinePunct w:val="0"/>
        <w:autoSpaceDE/>
        <w:autoSpaceDN/>
        <w:bidi w:val="0"/>
        <w:ind w:firstLine="616" w:firstLineChars="257"/>
        <w:textAlignment w:val="auto"/>
        <w:rPr>
          <w:sz w:val="24"/>
        </w:rPr>
      </w:pPr>
      <w:r>
        <w:rPr>
          <w:rFonts w:hint="eastAsia"/>
          <w:sz w:val="24"/>
        </w:rPr>
        <w:t xml:space="preserve">                          </w:t>
      </w:r>
    </w:p>
    <w:p w14:paraId="34AFD00B">
      <w:pPr>
        <w:pStyle w:val="4"/>
        <w:keepNext w:val="0"/>
        <w:keepLines w:val="0"/>
        <w:pageBreakBefore w:val="0"/>
        <w:widowControl w:val="0"/>
        <w:kinsoku/>
        <w:wordWrap/>
        <w:overflowPunct/>
        <w:topLinePunct w:val="0"/>
        <w:autoSpaceDE/>
        <w:autoSpaceDN/>
        <w:bidi w:val="0"/>
        <w:jc w:val="center"/>
        <w:textAlignment w:val="auto"/>
        <w:rPr>
          <w:rFonts w:ascii="黑体" w:eastAsia="黑体"/>
          <w:b w:val="0"/>
          <w:sz w:val="24"/>
        </w:rPr>
      </w:pPr>
      <w:r>
        <w:rPr>
          <w:rFonts w:hint="eastAsia" w:ascii="黑体" w:eastAsia="黑体"/>
          <w:b w:val="0"/>
          <w:sz w:val="24"/>
        </w:rPr>
        <w:t>二、资格响应文件</w:t>
      </w:r>
    </w:p>
    <w:p w14:paraId="797CE70C">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textAlignment w:val="auto"/>
        <w:rPr>
          <w:rFonts w:ascii="宋体" w:hAnsi="宋体"/>
          <w:bCs/>
          <w:snapToGrid w:val="0"/>
          <w:kern w:val="0"/>
          <w:szCs w:val="21"/>
        </w:rPr>
      </w:pPr>
      <w:r>
        <w:rPr>
          <w:rFonts w:hint="eastAsia" w:ascii="宋体" w:hAnsi="宋体"/>
          <w:bCs/>
          <w:snapToGrid w:val="0"/>
          <w:kern w:val="0"/>
          <w:szCs w:val="21"/>
        </w:rPr>
        <w:t>1、</w:t>
      </w:r>
      <w:r>
        <w:rPr>
          <w:rFonts w:ascii="宋体" w:hAnsi="宋体"/>
          <w:bCs/>
          <w:snapToGrid w:val="0"/>
          <w:kern w:val="0"/>
          <w:szCs w:val="21"/>
        </w:rPr>
        <w:t>营业执照</w:t>
      </w:r>
      <w:r>
        <w:rPr>
          <w:rFonts w:hint="eastAsia" w:ascii="宋体" w:hAnsi="宋体"/>
          <w:bCs/>
          <w:snapToGrid w:val="0"/>
          <w:kern w:val="0"/>
          <w:szCs w:val="21"/>
        </w:rPr>
        <w:t>或法人证书</w:t>
      </w:r>
      <w:r>
        <w:rPr>
          <w:rFonts w:hint="eastAsia" w:ascii="Times New Roman" w:hAnsi="宋体"/>
          <w:szCs w:val="21"/>
        </w:rPr>
        <w:t>等证明材料</w:t>
      </w:r>
      <w:r>
        <w:rPr>
          <w:rFonts w:hint="eastAsia" w:ascii="宋体" w:hAnsi="宋体"/>
          <w:bCs/>
          <w:snapToGrid w:val="0"/>
          <w:kern w:val="0"/>
          <w:szCs w:val="21"/>
        </w:rPr>
        <w:t>（扫描件）</w:t>
      </w:r>
    </w:p>
    <w:p w14:paraId="090BF1D3">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textAlignment w:val="auto"/>
        <w:rPr>
          <w:rFonts w:ascii="宋体" w:hAnsi="宋体"/>
          <w:szCs w:val="24"/>
        </w:rPr>
      </w:pPr>
      <w:r>
        <w:rPr>
          <w:rFonts w:hint="eastAsia" w:ascii="宋体" w:hAnsi="宋体"/>
          <w:bCs/>
          <w:snapToGrid w:val="0"/>
          <w:kern w:val="0"/>
          <w:szCs w:val="21"/>
        </w:rPr>
        <w:t>2、</w:t>
      </w:r>
      <w:r>
        <w:rPr>
          <w:rFonts w:hint="eastAsia" w:ascii="Times New Roman" w:hAnsi="Times New Roman"/>
          <w:szCs w:val="21"/>
        </w:rPr>
        <w:t>政府采购投标及履约承诺函</w:t>
      </w:r>
    </w:p>
    <w:p w14:paraId="3B734C03">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textAlignment w:val="auto"/>
        <w:rPr>
          <w:rFonts w:ascii="宋体" w:hAnsi="宋体"/>
          <w:szCs w:val="24"/>
        </w:rPr>
      </w:pPr>
      <w:r>
        <w:rPr>
          <w:rFonts w:hint="eastAsia" w:ascii="宋体" w:hAnsi="宋体"/>
          <w:szCs w:val="24"/>
        </w:rPr>
        <w:t>3、其它资格证明材料（如有，按招标公告“申请人的资格要求”提供）</w:t>
      </w:r>
    </w:p>
    <w:p w14:paraId="05E970D2">
      <w:pPr>
        <w:keepNext w:val="0"/>
        <w:keepLines w:val="0"/>
        <w:pageBreakBefore w:val="0"/>
        <w:widowControl w:val="0"/>
        <w:kinsoku/>
        <w:wordWrap/>
        <w:overflowPunct/>
        <w:topLinePunct w:val="0"/>
        <w:autoSpaceDE/>
        <w:autoSpaceDN/>
        <w:bidi w:val="0"/>
        <w:textAlignment w:val="auto"/>
        <w:rPr>
          <w:szCs w:val="21"/>
          <w:u w:val="single"/>
        </w:rPr>
      </w:pPr>
    </w:p>
    <w:p w14:paraId="4D2D1D2D">
      <w:pPr>
        <w:keepNext w:val="0"/>
        <w:keepLines w:val="0"/>
        <w:pageBreakBefore w:val="0"/>
        <w:widowControl w:val="0"/>
        <w:kinsoku/>
        <w:wordWrap/>
        <w:overflowPunct/>
        <w:topLinePunct w:val="0"/>
        <w:autoSpaceDE/>
        <w:autoSpaceDN/>
        <w:bidi w:val="0"/>
        <w:textAlignment w:val="auto"/>
        <w:rPr>
          <w:rFonts w:ascii="宋体" w:hAnsi="宋体"/>
          <w:szCs w:val="21"/>
        </w:rPr>
      </w:pPr>
      <w:r>
        <w:rPr>
          <w:rFonts w:hint="eastAsia"/>
          <w:szCs w:val="21"/>
          <w:u w:val="single"/>
        </w:rPr>
        <w:t>（备注：如联合体投标，联合体各方均应按要求提供资格响应文件）</w:t>
      </w:r>
    </w:p>
    <w:p w14:paraId="3667470D">
      <w:pPr>
        <w:pStyle w:val="4"/>
        <w:keepNext w:val="0"/>
        <w:keepLines w:val="0"/>
        <w:pageBreakBefore w:val="0"/>
        <w:widowControl w:val="0"/>
        <w:kinsoku/>
        <w:wordWrap/>
        <w:overflowPunct/>
        <w:topLinePunct w:val="0"/>
        <w:autoSpaceDE/>
        <w:autoSpaceDN/>
        <w:bidi w:val="0"/>
        <w:jc w:val="center"/>
        <w:textAlignment w:val="auto"/>
        <w:rPr>
          <w:rFonts w:ascii="黑体" w:eastAsia="黑体"/>
          <w:b w:val="0"/>
          <w:sz w:val="24"/>
        </w:rPr>
      </w:pPr>
    </w:p>
    <w:p w14:paraId="7F680FE2">
      <w:pPr>
        <w:rPr>
          <w:rFonts w:hint="eastAsia" w:ascii="黑体" w:eastAsia="黑体"/>
          <w:b w:val="0"/>
          <w:sz w:val="24"/>
        </w:rPr>
      </w:pPr>
      <w:r>
        <w:rPr>
          <w:rFonts w:hint="eastAsia" w:ascii="黑体" w:eastAsia="黑体"/>
          <w:b w:val="0"/>
          <w:sz w:val="24"/>
        </w:rPr>
        <w:br w:type="page"/>
      </w:r>
    </w:p>
    <w:p w14:paraId="581DF46A">
      <w:pPr>
        <w:pStyle w:val="4"/>
        <w:keepNext w:val="0"/>
        <w:keepLines w:val="0"/>
        <w:pageBreakBefore w:val="0"/>
        <w:widowControl w:val="0"/>
        <w:kinsoku/>
        <w:wordWrap/>
        <w:overflowPunct/>
        <w:topLinePunct w:val="0"/>
        <w:autoSpaceDE/>
        <w:autoSpaceDN/>
        <w:bidi w:val="0"/>
        <w:jc w:val="center"/>
        <w:textAlignment w:val="auto"/>
        <w:rPr>
          <w:rFonts w:ascii="黑体" w:eastAsia="黑体"/>
          <w:b w:val="0"/>
          <w:sz w:val="24"/>
        </w:rPr>
      </w:pPr>
      <w:r>
        <w:rPr>
          <w:rFonts w:hint="eastAsia" w:ascii="黑体" w:eastAsia="黑体"/>
          <w:b w:val="0"/>
          <w:sz w:val="24"/>
        </w:rPr>
        <w:t>政府采购投标及履约承诺函</w:t>
      </w:r>
    </w:p>
    <w:p w14:paraId="07A129A5">
      <w:pPr>
        <w:keepNext w:val="0"/>
        <w:keepLines w:val="0"/>
        <w:pageBreakBefore w:val="0"/>
        <w:widowControl w:val="0"/>
        <w:kinsoku/>
        <w:wordWrap/>
        <w:overflowPunct/>
        <w:topLinePunct w:val="0"/>
        <w:autoSpaceDE/>
        <w:autoSpaceDN/>
        <w:bidi w:val="0"/>
        <w:textAlignment w:val="auto"/>
        <w:rPr>
          <w:rFonts w:ascii="宋体" w:hAnsi="宋体"/>
          <w:szCs w:val="21"/>
        </w:rPr>
      </w:pPr>
      <w:r>
        <w:rPr>
          <w:rFonts w:hint="eastAsia" w:ascii="宋体" w:hAnsi="宋体"/>
          <w:szCs w:val="21"/>
        </w:rPr>
        <w:t>深圳市中正招标有限公司：</w:t>
      </w:r>
    </w:p>
    <w:p w14:paraId="51A39547">
      <w:pPr>
        <w:keepNext w:val="0"/>
        <w:keepLines w:val="0"/>
        <w:pageBreakBefore w:val="0"/>
        <w:widowControl w:val="0"/>
        <w:kinsoku/>
        <w:wordWrap/>
        <w:overflowPunct/>
        <w:topLinePunct w:val="0"/>
        <w:autoSpaceDE/>
        <w:autoSpaceDN/>
        <w:bidi w:val="0"/>
        <w:ind w:right="-815" w:firstLine="420" w:firstLineChars="200"/>
        <w:textAlignment w:val="auto"/>
        <w:rPr>
          <w:rFonts w:ascii="宋体" w:hAnsi="宋体"/>
          <w:szCs w:val="21"/>
        </w:rPr>
      </w:pPr>
      <w:r>
        <w:rPr>
          <w:rFonts w:hint="eastAsia" w:ascii="宋体" w:hAnsi="宋体"/>
          <w:szCs w:val="21"/>
        </w:rPr>
        <w:t>我单位承诺：</w:t>
      </w:r>
    </w:p>
    <w:p w14:paraId="304881AD">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1.我单位满足《中华人民共和国政府采购法》第二十二条规定的下列条件：</w:t>
      </w:r>
    </w:p>
    <w:p w14:paraId="0328166C">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（一）具有独立承担民事责任的能力；</w:t>
      </w:r>
    </w:p>
    <w:p w14:paraId="4C51B571">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（二）具有良好的商业信誉和健全的财务会计制度；</w:t>
      </w:r>
    </w:p>
    <w:p w14:paraId="5265DDE1">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（三）具有履行合同所必需的设备和专业技术能力；</w:t>
      </w:r>
    </w:p>
    <w:p w14:paraId="7578E6A8">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（四）有依法缴纳税收和社会保障资金的良好记录；</w:t>
      </w:r>
    </w:p>
    <w:p w14:paraId="1FE114D4">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（五）参加政府采购活动前三年内，在经营活动中没有重大违法记录；</w:t>
      </w:r>
    </w:p>
    <w:p w14:paraId="7C261E59">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（六）法律、行政法规规定的其他条件。</w:t>
      </w:r>
    </w:p>
    <w:p w14:paraId="6BE75B9F">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2.我单位参与本项目采购活动前三年内，在经营活动中没有重大违法记录，包括因违法经营受到刑事处罚或者责令停产停业、吊销许可证或者执照、较大数额罚款等行政处罚。</w:t>
      </w:r>
    </w:p>
    <w:p w14:paraId="4FE7C79E">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3.我单位参与本项目政府采购活动时不存在被有关部门禁止参与政府采购活动且在有效期内的情况；与其他投标供应商不存在“单位负责人为同一人或者存在直接控股、管理关系”的情况；</w:t>
      </w:r>
      <w:r>
        <w:rPr>
          <w:rFonts w:hint="eastAsia" w:asciiTheme="minorEastAsia" w:hAnsiTheme="minorEastAsia" w:eastAsiaTheme="minorEastAsia"/>
          <w:snapToGrid w:val="0"/>
        </w:rPr>
        <w:t>除单一来源采购项目外，为采购项目提供整体设计、规范编制或者项目管理、监理、检测等服务的供应商，不得再参加该采购项目的其他采购活动</w:t>
      </w:r>
      <w:r>
        <w:rPr>
          <w:rFonts w:hint="eastAsia" w:ascii="宋体" w:hAnsi="宋体"/>
          <w:szCs w:val="21"/>
        </w:rPr>
        <w:t>。</w:t>
      </w:r>
    </w:p>
    <w:p w14:paraId="46239684">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4.我单位承诺非联合体投标，不非法转包或分包，为本项目所提供的货物或服务未侵犯知识产权。</w:t>
      </w:r>
    </w:p>
    <w:p w14:paraId="668521E0">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5.我单位承诺不存在《深圳市财政局政府采购供应商信用信息管理办法》（深财规〔2023〕3号）列明的严重违法失信行为。</w:t>
      </w:r>
    </w:p>
    <w:p w14:paraId="69566E0A">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6.我单位参与该项目投标，严格遵循公平竞争的原则，不妨碍其他投标人的竞争行为，不损害采购人或者其他投标人的合法权益，与其他采购参加人不存在下列串通投标情形：</w:t>
      </w:r>
    </w:p>
    <w:p w14:paraId="421386D1">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（1）投标供应商之间相互约定给予未中标的供应商利益补偿；</w:t>
      </w:r>
    </w:p>
    <w:p w14:paraId="0277EE4C">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（2）不同投标供应商的法定代表人、主要经营负责人、项目投标授权代表人、项目负责人、主要技术人员为同一人、属同一单位或者在同一单位缴纳社会保险；</w:t>
      </w:r>
    </w:p>
    <w:p w14:paraId="7F991E69">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（3）不同投标供应商的投标文件由同一单位或者同一人编制，或者由同一人分阶段参与编制的；</w:t>
      </w:r>
    </w:p>
    <w:p w14:paraId="335A90D7">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（4）不同投标供应商的投标文件或部分投标文件相互混装；</w:t>
      </w:r>
    </w:p>
    <w:p w14:paraId="62DC33E5">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（5）不同投标供应商的投标文件内容存在非正常一致；</w:t>
      </w:r>
    </w:p>
    <w:p w14:paraId="6A5A91C9">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（6）由同一单位工作人员为两家以上（含两家）供应商进行同一项投标活动的；</w:t>
      </w:r>
    </w:p>
    <w:p w14:paraId="71ECDF68">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（7）主管部门依照法律、法规认定的其他情形。</w:t>
      </w:r>
    </w:p>
    <w:p w14:paraId="4EFCB0DE">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w:t>
      </w:r>
    </w:p>
    <w:p w14:paraId="5F6A8588">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8.我单位承诺不恶意低价谋取中标；我单位对本项目的报价负责，中标后将严格按照本项目招标文件需求、签署的采购合同及我单位在投标中所作的全部承诺履行。我单位清楚，若我单位以“报价太低而无法履约”为理由放弃本项目中标资格，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D99644B">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9.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0665CA24">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10.我单位获得中标、成交资格后无正当理由放弃中标、成交资格的，自愿接受政府采购主管部门将我单位放弃中标、成交资格的信息公示在深圳市政府采购监管网，公示期一年，一切不利后果我单位均自愿承担。</w:t>
      </w:r>
    </w:p>
    <w:p w14:paraId="255BCF1F">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r>
        <w:rPr>
          <w:rFonts w:hint="eastAsia" w:ascii="宋体" w:hAnsi="宋体"/>
          <w:szCs w:val="21"/>
        </w:rPr>
        <w:t>以上承诺，如有违反，愿依照相关法律法规处理，并承担由此给采购人带来的损失。</w:t>
      </w:r>
    </w:p>
    <w:p w14:paraId="093175E4">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p>
    <w:p w14:paraId="4A1F412A">
      <w:pPr>
        <w:keepNext w:val="0"/>
        <w:keepLines w:val="0"/>
        <w:pageBreakBefore w:val="0"/>
        <w:widowControl w:val="0"/>
        <w:kinsoku/>
        <w:wordWrap/>
        <w:overflowPunct/>
        <w:topLinePunct w:val="0"/>
        <w:autoSpaceDE/>
        <w:autoSpaceDN/>
        <w:bidi w:val="0"/>
        <w:jc w:val="center"/>
        <w:textAlignment w:val="auto"/>
      </w:pPr>
      <w:r>
        <w:rPr>
          <w:rFonts w:hint="eastAsia"/>
          <w:szCs w:val="21"/>
        </w:rPr>
        <w:t xml:space="preserve">                             投标人：</w:t>
      </w:r>
    </w:p>
    <w:p w14:paraId="28D69140">
      <w:pPr>
        <w:keepNext w:val="0"/>
        <w:keepLines w:val="0"/>
        <w:pageBreakBefore w:val="0"/>
        <w:widowControl w:val="0"/>
        <w:kinsoku/>
        <w:wordWrap/>
        <w:overflowPunct/>
        <w:topLinePunct w:val="0"/>
        <w:autoSpaceDE/>
        <w:autoSpaceDN/>
        <w:bidi w:val="0"/>
        <w:textAlignment w:val="auto"/>
        <w:rPr>
          <w:rFonts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47C4C20">
      <w:pPr>
        <w:keepNext w:val="0"/>
        <w:keepLines w:val="0"/>
        <w:pageBreakBefore w:val="0"/>
        <w:widowControl w:val="0"/>
        <w:kinsoku/>
        <w:wordWrap/>
        <w:overflowPunct/>
        <w:topLinePunct w:val="0"/>
        <w:autoSpaceDE/>
        <w:autoSpaceDN/>
        <w:bidi w:val="0"/>
        <w:ind w:firstLine="424" w:firstLineChars="202"/>
        <w:textAlignment w:val="auto"/>
        <w:rPr>
          <w:rFonts w:ascii="宋体" w:hAnsi="宋体"/>
          <w:szCs w:val="21"/>
        </w:rPr>
      </w:pPr>
    </w:p>
    <w:p w14:paraId="62AD5D1F">
      <w:pPr>
        <w:keepNext w:val="0"/>
        <w:keepLines w:val="0"/>
        <w:pageBreakBefore w:val="0"/>
        <w:widowControl w:val="0"/>
        <w:kinsoku/>
        <w:wordWrap/>
        <w:overflowPunct/>
        <w:topLinePunct w:val="0"/>
        <w:autoSpaceDE/>
        <w:autoSpaceDN/>
        <w:bidi w:val="0"/>
        <w:textAlignment w:val="auto"/>
      </w:pPr>
    </w:p>
    <w:p w14:paraId="271B00F5">
      <w:pPr>
        <w:keepNext w:val="0"/>
        <w:keepLines w:val="0"/>
        <w:pageBreakBefore w:val="0"/>
        <w:widowControl w:val="0"/>
        <w:kinsoku/>
        <w:wordWrap/>
        <w:overflowPunct/>
        <w:topLinePunct w:val="0"/>
        <w:autoSpaceDE/>
        <w:autoSpaceDN/>
        <w:bidi w:val="0"/>
        <w:textAlignment w:val="auto"/>
        <w:rPr>
          <w:rFonts w:ascii="宋体" w:hAnsi="宋体"/>
          <w:szCs w:val="21"/>
        </w:rPr>
      </w:pPr>
      <w:r>
        <w:rPr>
          <w:rFonts w:hint="eastAsia"/>
          <w:szCs w:val="21"/>
          <w:u w:val="single"/>
        </w:rPr>
        <w:t>（备注：如联合体投标，投标人一栏需填写联合体各方的名称）</w:t>
      </w:r>
    </w:p>
    <w:p w14:paraId="315C73EE">
      <w:pPr>
        <w:keepNext w:val="0"/>
        <w:keepLines w:val="0"/>
        <w:pageBreakBefore w:val="0"/>
        <w:widowControl w:val="0"/>
        <w:kinsoku/>
        <w:wordWrap/>
        <w:overflowPunct/>
        <w:topLinePunct w:val="0"/>
        <w:autoSpaceDE/>
        <w:autoSpaceDN/>
        <w:bidi w:val="0"/>
        <w:textAlignment w:val="auto"/>
      </w:pPr>
    </w:p>
    <w:p w14:paraId="4886D7CA">
      <w:pPr>
        <w:keepNext w:val="0"/>
        <w:keepLines w:val="0"/>
        <w:pageBreakBefore w:val="0"/>
        <w:widowControl w:val="0"/>
        <w:kinsoku/>
        <w:wordWrap/>
        <w:overflowPunct/>
        <w:topLinePunct w:val="0"/>
        <w:autoSpaceDE/>
        <w:autoSpaceDN/>
        <w:bidi w:val="0"/>
        <w:ind w:firstLine="420" w:firstLineChars="200"/>
        <w:textAlignment w:val="auto"/>
        <w:rPr>
          <w:rFonts w:cs="Courier New"/>
          <w:snapToGrid w:val="0"/>
          <w:szCs w:val="18"/>
        </w:rPr>
      </w:pPr>
    </w:p>
    <w:p w14:paraId="49D8681E">
      <w:pPr>
        <w:pStyle w:val="4"/>
        <w:keepNext w:val="0"/>
        <w:keepLines w:val="0"/>
        <w:pageBreakBefore w:val="0"/>
        <w:widowControl w:val="0"/>
        <w:kinsoku/>
        <w:wordWrap/>
        <w:overflowPunct/>
        <w:topLinePunct w:val="0"/>
        <w:autoSpaceDE/>
        <w:autoSpaceDN/>
        <w:bidi w:val="0"/>
        <w:jc w:val="center"/>
        <w:textAlignment w:val="auto"/>
        <w:rPr>
          <w:rFonts w:ascii="黑体" w:eastAsia="黑体"/>
          <w:b w:val="0"/>
          <w:sz w:val="24"/>
        </w:rPr>
      </w:pPr>
      <w:r>
        <w:rPr>
          <w:rFonts w:hint="eastAsia" w:ascii="黑体" w:eastAsia="黑体"/>
          <w:b w:val="0"/>
          <w:sz w:val="24"/>
        </w:rPr>
        <w:t>三、投标人情况介绍</w:t>
      </w:r>
    </w:p>
    <w:tbl>
      <w:tblPr>
        <w:tblStyle w:val="42"/>
        <w:tblW w:w="913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59"/>
        <w:gridCol w:w="4432"/>
        <w:gridCol w:w="1411"/>
      </w:tblGrid>
      <w:tr w14:paraId="37055B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trHeight w:val="20" w:hRule="atLeast"/>
          <w:jc w:val="center"/>
        </w:trPr>
        <w:tc>
          <w:tcPr>
            <w:tcW w:w="735" w:type="dxa"/>
            <w:vAlign w:val="center"/>
          </w:tcPr>
          <w:p w14:paraId="679CB051">
            <w:pPr>
              <w:keepNext w:val="0"/>
              <w:keepLines w:val="0"/>
              <w:pageBreakBefore w:val="0"/>
              <w:widowControl w:val="0"/>
              <w:kinsoku/>
              <w:wordWrap/>
              <w:overflowPunct/>
              <w:topLinePunct w:val="0"/>
              <w:autoSpaceDE/>
              <w:autoSpaceDN/>
              <w:bidi w:val="0"/>
              <w:spacing w:after="60"/>
              <w:jc w:val="center"/>
              <w:textAlignment w:val="auto"/>
              <w:rPr>
                <w:rFonts w:ascii="宋体" w:hAnsi="宋体"/>
                <w:b/>
                <w:szCs w:val="21"/>
              </w:rPr>
            </w:pPr>
            <w:r>
              <w:rPr>
                <w:rFonts w:hint="eastAsia" w:ascii="宋体" w:hAnsi="宋体"/>
                <w:b/>
                <w:szCs w:val="21"/>
              </w:rPr>
              <w:t>序号</w:t>
            </w:r>
          </w:p>
        </w:tc>
        <w:tc>
          <w:tcPr>
            <w:tcW w:w="2559" w:type="dxa"/>
          </w:tcPr>
          <w:p w14:paraId="789CF47C">
            <w:pPr>
              <w:keepNext w:val="0"/>
              <w:keepLines w:val="0"/>
              <w:pageBreakBefore w:val="0"/>
              <w:widowControl w:val="0"/>
              <w:kinsoku/>
              <w:wordWrap/>
              <w:overflowPunct/>
              <w:topLinePunct w:val="0"/>
              <w:autoSpaceDE/>
              <w:autoSpaceDN/>
              <w:bidi w:val="0"/>
              <w:spacing w:after="60"/>
              <w:jc w:val="center"/>
              <w:textAlignment w:val="auto"/>
              <w:rPr>
                <w:rFonts w:ascii="宋体" w:hAnsi="宋体"/>
                <w:b/>
                <w:szCs w:val="21"/>
              </w:rPr>
            </w:pPr>
            <w:r>
              <w:rPr>
                <w:rFonts w:hint="eastAsia" w:ascii="宋体" w:hAnsi="宋体"/>
                <w:b/>
                <w:szCs w:val="21"/>
              </w:rPr>
              <w:t>项</w:t>
            </w:r>
            <w:r>
              <w:rPr>
                <w:rFonts w:ascii="宋体" w:hAnsi="宋体"/>
                <w:b/>
                <w:szCs w:val="21"/>
              </w:rPr>
              <w:t xml:space="preserve">  </w:t>
            </w:r>
            <w:r>
              <w:rPr>
                <w:rFonts w:hint="eastAsia" w:ascii="宋体" w:hAnsi="宋体"/>
                <w:b/>
                <w:szCs w:val="21"/>
              </w:rPr>
              <w:t>目</w:t>
            </w:r>
          </w:p>
        </w:tc>
        <w:tc>
          <w:tcPr>
            <w:tcW w:w="4432" w:type="dxa"/>
            <w:vAlign w:val="center"/>
          </w:tcPr>
          <w:p w14:paraId="018BB539">
            <w:pPr>
              <w:keepNext w:val="0"/>
              <w:keepLines w:val="0"/>
              <w:pageBreakBefore w:val="0"/>
              <w:widowControl w:val="0"/>
              <w:kinsoku/>
              <w:wordWrap/>
              <w:overflowPunct/>
              <w:topLinePunct w:val="0"/>
              <w:autoSpaceDE/>
              <w:autoSpaceDN/>
              <w:bidi w:val="0"/>
              <w:spacing w:after="60"/>
              <w:jc w:val="center"/>
              <w:textAlignment w:val="auto"/>
              <w:rPr>
                <w:rFonts w:ascii="宋体" w:hAnsi="宋体"/>
                <w:b/>
                <w:szCs w:val="21"/>
              </w:rPr>
            </w:pPr>
            <w:r>
              <w:rPr>
                <w:rFonts w:hint="eastAsia" w:ascii="宋体" w:hAnsi="宋体"/>
                <w:b/>
                <w:szCs w:val="21"/>
              </w:rPr>
              <w:t>内容及说明</w:t>
            </w:r>
          </w:p>
        </w:tc>
        <w:tc>
          <w:tcPr>
            <w:tcW w:w="1411" w:type="dxa"/>
            <w:vAlign w:val="center"/>
          </w:tcPr>
          <w:p w14:paraId="24D3CF99">
            <w:pPr>
              <w:keepNext w:val="0"/>
              <w:keepLines w:val="0"/>
              <w:pageBreakBefore w:val="0"/>
              <w:widowControl w:val="0"/>
              <w:kinsoku/>
              <w:wordWrap/>
              <w:overflowPunct/>
              <w:topLinePunct w:val="0"/>
              <w:autoSpaceDE/>
              <w:autoSpaceDN/>
              <w:bidi w:val="0"/>
              <w:spacing w:after="60"/>
              <w:jc w:val="center"/>
              <w:textAlignment w:val="auto"/>
              <w:rPr>
                <w:rFonts w:ascii="宋体" w:hAnsi="宋体"/>
                <w:b/>
                <w:szCs w:val="21"/>
              </w:rPr>
            </w:pPr>
            <w:r>
              <w:rPr>
                <w:rFonts w:hint="eastAsia" w:ascii="宋体" w:hAnsi="宋体"/>
                <w:b/>
                <w:szCs w:val="21"/>
              </w:rPr>
              <w:t>备注</w:t>
            </w:r>
          </w:p>
        </w:tc>
      </w:tr>
      <w:tr w14:paraId="0D5C77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5" w:type="dxa"/>
            <w:vAlign w:val="center"/>
          </w:tcPr>
          <w:p w14:paraId="7A1E08C7">
            <w:pPr>
              <w:keepNext w:val="0"/>
              <w:keepLines w:val="0"/>
              <w:pageBreakBefore w:val="0"/>
              <w:widowControl w:val="0"/>
              <w:kinsoku/>
              <w:wordWrap/>
              <w:overflowPunct/>
              <w:topLinePunct w:val="0"/>
              <w:autoSpaceDE/>
              <w:autoSpaceDN/>
              <w:bidi w:val="0"/>
              <w:spacing w:after="60"/>
              <w:jc w:val="center"/>
              <w:textAlignment w:val="auto"/>
              <w:rPr>
                <w:rFonts w:ascii="宋体" w:hAnsi="宋体"/>
                <w:b/>
                <w:szCs w:val="21"/>
              </w:rPr>
            </w:pPr>
            <w:r>
              <w:rPr>
                <w:rFonts w:hint="eastAsia" w:ascii="宋体" w:hAnsi="宋体"/>
                <w:b/>
                <w:szCs w:val="21"/>
              </w:rPr>
              <w:t>一</w:t>
            </w:r>
          </w:p>
        </w:tc>
        <w:tc>
          <w:tcPr>
            <w:tcW w:w="6991" w:type="dxa"/>
            <w:gridSpan w:val="2"/>
          </w:tcPr>
          <w:p w14:paraId="60A8AF12">
            <w:pPr>
              <w:keepNext w:val="0"/>
              <w:keepLines w:val="0"/>
              <w:pageBreakBefore w:val="0"/>
              <w:widowControl w:val="0"/>
              <w:kinsoku/>
              <w:wordWrap/>
              <w:overflowPunct/>
              <w:topLinePunct w:val="0"/>
              <w:autoSpaceDE/>
              <w:autoSpaceDN/>
              <w:bidi w:val="0"/>
              <w:spacing w:after="60"/>
              <w:textAlignment w:val="auto"/>
              <w:rPr>
                <w:rFonts w:ascii="宋体" w:hAnsi="宋体"/>
                <w:b/>
                <w:szCs w:val="21"/>
              </w:rPr>
            </w:pPr>
            <w:r>
              <w:rPr>
                <w:rFonts w:hint="eastAsia" w:ascii="宋体" w:hAnsi="宋体"/>
                <w:b/>
                <w:szCs w:val="21"/>
              </w:rPr>
              <w:t>营业执照</w:t>
            </w:r>
          </w:p>
        </w:tc>
        <w:tc>
          <w:tcPr>
            <w:tcW w:w="1411" w:type="dxa"/>
            <w:vAlign w:val="center"/>
          </w:tcPr>
          <w:p w14:paraId="637ABA8F">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p>
        </w:tc>
      </w:tr>
      <w:tr w14:paraId="40C948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5" w:type="dxa"/>
            <w:vAlign w:val="center"/>
          </w:tcPr>
          <w:p w14:paraId="5AABBF46">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ascii="宋体" w:hAnsi="宋体"/>
                <w:szCs w:val="21"/>
              </w:rPr>
              <w:t>1</w:t>
            </w:r>
          </w:p>
        </w:tc>
        <w:tc>
          <w:tcPr>
            <w:tcW w:w="2559" w:type="dxa"/>
            <w:vAlign w:val="center"/>
          </w:tcPr>
          <w:p w14:paraId="29E052CE">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注册年度及注册编号</w:t>
            </w:r>
          </w:p>
        </w:tc>
        <w:tc>
          <w:tcPr>
            <w:tcW w:w="4432" w:type="dxa"/>
            <w:vAlign w:val="center"/>
          </w:tcPr>
          <w:p w14:paraId="5D36B0F4">
            <w:pPr>
              <w:keepNext w:val="0"/>
              <w:keepLines w:val="0"/>
              <w:pageBreakBefore w:val="0"/>
              <w:widowControl w:val="0"/>
              <w:kinsoku/>
              <w:wordWrap/>
              <w:overflowPunct/>
              <w:topLinePunct w:val="0"/>
              <w:autoSpaceDE/>
              <w:autoSpaceDN/>
              <w:bidi w:val="0"/>
              <w:spacing w:after="60"/>
              <w:textAlignment w:val="auto"/>
              <w:rPr>
                <w:rFonts w:ascii="宋体" w:hAnsi="宋体"/>
                <w:szCs w:val="21"/>
              </w:rPr>
            </w:pPr>
          </w:p>
        </w:tc>
        <w:tc>
          <w:tcPr>
            <w:tcW w:w="1411" w:type="dxa"/>
            <w:vAlign w:val="center"/>
          </w:tcPr>
          <w:p w14:paraId="7318C6F5">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p>
        </w:tc>
      </w:tr>
      <w:tr w14:paraId="2FB1C6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5" w:type="dxa"/>
            <w:vAlign w:val="center"/>
          </w:tcPr>
          <w:p w14:paraId="2545F218">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ascii="宋体" w:hAnsi="宋体"/>
                <w:szCs w:val="21"/>
              </w:rPr>
              <w:t>2</w:t>
            </w:r>
          </w:p>
        </w:tc>
        <w:tc>
          <w:tcPr>
            <w:tcW w:w="2559" w:type="dxa"/>
            <w:vAlign w:val="center"/>
          </w:tcPr>
          <w:p w14:paraId="67867293">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注册资金（万元）</w:t>
            </w:r>
          </w:p>
        </w:tc>
        <w:tc>
          <w:tcPr>
            <w:tcW w:w="4432" w:type="dxa"/>
            <w:vAlign w:val="center"/>
          </w:tcPr>
          <w:p w14:paraId="2E0D4AEA">
            <w:pPr>
              <w:keepNext w:val="0"/>
              <w:keepLines w:val="0"/>
              <w:pageBreakBefore w:val="0"/>
              <w:widowControl w:val="0"/>
              <w:kinsoku/>
              <w:wordWrap/>
              <w:overflowPunct/>
              <w:topLinePunct w:val="0"/>
              <w:autoSpaceDE/>
              <w:autoSpaceDN/>
              <w:bidi w:val="0"/>
              <w:spacing w:after="60"/>
              <w:textAlignment w:val="auto"/>
              <w:rPr>
                <w:rFonts w:ascii="宋体" w:hAnsi="宋体"/>
                <w:szCs w:val="21"/>
              </w:rPr>
            </w:pPr>
          </w:p>
        </w:tc>
        <w:tc>
          <w:tcPr>
            <w:tcW w:w="1411" w:type="dxa"/>
            <w:vAlign w:val="center"/>
          </w:tcPr>
          <w:p w14:paraId="04D6EF96">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p>
        </w:tc>
      </w:tr>
      <w:tr w14:paraId="3845FD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5" w:type="dxa"/>
            <w:vAlign w:val="center"/>
          </w:tcPr>
          <w:p w14:paraId="49BB3FD0">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3</w:t>
            </w:r>
          </w:p>
        </w:tc>
        <w:tc>
          <w:tcPr>
            <w:tcW w:w="2559" w:type="dxa"/>
            <w:vAlign w:val="center"/>
          </w:tcPr>
          <w:p w14:paraId="1BF658D0">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法定代表人</w:t>
            </w:r>
          </w:p>
        </w:tc>
        <w:tc>
          <w:tcPr>
            <w:tcW w:w="4432" w:type="dxa"/>
            <w:vAlign w:val="center"/>
          </w:tcPr>
          <w:p w14:paraId="0FB68120">
            <w:pPr>
              <w:keepNext w:val="0"/>
              <w:keepLines w:val="0"/>
              <w:pageBreakBefore w:val="0"/>
              <w:widowControl w:val="0"/>
              <w:kinsoku/>
              <w:wordWrap/>
              <w:overflowPunct/>
              <w:topLinePunct w:val="0"/>
              <w:autoSpaceDE/>
              <w:autoSpaceDN/>
              <w:bidi w:val="0"/>
              <w:spacing w:after="60"/>
              <w:textAlignment w:val="auto"/>
              <w:rPr>
                <w:rFonts w:ascii="宋体" w:hAnsi="宋体"/>
                <w:szCs w:val="21"/>
              </w:rPr>
            </w:pPr>
          </w:p>
        </w:tc>
        <w:tc>
          <w:tcPr>
            <w:tcW w:w="1411" w:type="dxa"/>
            <w:vAlign w:val="center"/>
          </w:tcPr>
          <w:p w14:paraId="1027CE88">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p>
        </w:tc>
      </w:tr>
      <w:tr w14:paraId="40A289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5" w:type="dxa"/>
            <w:vAlign w:val="center"/>
          </w:tcPr>
          <w:p w14:paraId="2D4857B5">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4</w:t>
            </w:r>
          </w:p>
        </w:tc>
        <w:tc>
          <w:tcPr>
            <w:tcW w:w="2559" w:type="dxa"/>
            <w:vAlign w:val="center"/>
          </w:tcPr>
          <w:p w14:paraId="604B3320">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住所地</w:t>
            </w:r>
          </w:p>
        </w:tc>
        <w:tc>
          <w:tcPr>
            <w:tcW w:w="4432" w:type="dxa"/>
            <w:vAlign w:val="center"/>
          </w:tcPr>
          <w:p w14:paraId="76DC60F3">
            <w:pPr>
              <w:keepNext w:val="0"/>
              <w:keepLines w:val="0"/>
              <w:pageBreakBefore w:val="0"/>
              <w:widowControl w:val="0"/>
              <w:kinsoku/>
              <w:wordWrap/>
              <w:overflowPunct/>
              <w:topLinePunct w:val="0"/>
              <w:autoSpaceDE/>
              <w:autoSpaceDN/>
              <w:bidi w:val="0"/>
              <w:spacing w:after="60"/>
              <w:textAlignment w:val="auto"/>
              <w:rPr>
                <w:rFonts w:ascii="宋体" w:hAnsi="宋体"/>
                <w:szCs w:val="21"/>
              </w:rPr>
            </w:pPr>
          </w:p>
        </w:tc>
        <w:tc>
          <w:tcPr>
            <w:tcW w:w="1411" w:type="dxa"/>
            <w:vAlign w:val="center"/>
          </w:tcPr>
          <w:p w14:paraId="2976762E">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p>
        </w:tc>
      </w:tr>
      <w:tr w14:paraId="2FE065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5" w:type="dxa"/>
            <w:vAlign w:val="center"/>
          </w:tcPr>
          <w:p w14:paraId="790335C4">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5</w:t>
            </w:r>
          </w:p>
        </w:tc>
        <w:tc>
          <w:tcPr>
            <w:tcW w:w="2559" w:type="dxa"/>
            <w:vAlign w:val="center"/>
          </w:tcPr>
          <w:p w14:paraId="63ADDEDB">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经营范围</w:t>
            </w:r>
          </w:p>
        </w:tc>
        <w:tc>
          <w:tcPr>
            <w:tcW w:w="4432" w:type="dxa"/>
            <w:vAlign w:val="center"/>
          </w:tcPr>
          <w:p w14:paraId="48BE258D">
            <w:pPr>
              <w:keepNext w:val="0"/>
              <w:keepLines w:val="0"/>
              <w:pageBreakBefore w:val="0"/>
              <w:widowControl w:val="0"/>
              <w:kinsoku/>
              <w:wordWrap/>
              <w:overflowPunct/>
              <w:topLinePunct w:val="0"/>
              <w:autoSpaceDE/>
              <w:autoSpaceDN/>
              <w:bidi w:val="0"/>
              <w:spacing w:after="60"/>
              <w:textAlignment w:val="auto"/>
              <w:rPr>
                <w:rFonts w:ascii="宋体" w:hAnsi="宋体"/>
                <w:szCs w:val="21"/>
              </w:rPr>
            </w:pPr>
          </w:p>
        </w:tc>
        <w:tc>
          <w:tcPr>
            <w:tcW w:w="1411" w:type="dxa"/>
            <w:vAlign w:val="center"/>
          </w:tcPr>
          <w:p w14:paraId="34870B1D">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p>
        </w:tc>
      </w:tr>
      <w:tr w14:paraId="209E01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5" w:type="dxa"/>
            <w:vAlign w:val="center"/>
          </w:tcPr>
          <w:p w14:paraId="75B442B2">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6</w:t>
            </w:r>
          </w:p>
        </w:tc>
        <w:tc>
          <w:tcPr>
            <w:tcW w:w="2559" w:type="dxa"/>
            <w:vAlign w:val="center"/>
          </w:tcPr>
          <w:p w14:paraId="1A320BD3">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开户银行及账号</w:t>
            </w:r>
          </w:p>
        </w:tc>
        <w:tc>
          <w:tcPr>
            <w:tcW w:w="4432" w:type="dxa"/>
            <w:vAlign w:val="center"/>
          </w:tcPr>
          <w:p w14:paraId="338B4950">
            <w:pPr>
              <w:keepNext w:val="0"/>
              <w:keepLines w:val="0"/>
              <w:pageBreakBefore w:val="0"/>
              <w:widowControl w:val="0"/>
              <w:kinsoku/>
              <w:wordWrap/>
              <w:overflowPunct/>
              <w:topLinePunct w:val="0"/>
              <w:autoSpaceDE/>
              <w:autoSpaceDN/>
              <w:bidi w:val="0"/>
              <w:spacing w:after="60"/>
              <w:textAlignment w:val="auto"/>
              <w:rPr>
                <w:rFonts w:ascii="宋体" w:hAnsi="宋体"/>
                <w:szCs w:val="21"/>
              </w:rPr>
            </w:pPr>
          </w:p>
        </w:tc>
        <w:tc>
          <w:tcPr>
            <w:tcW w:w="1411" w:type="dxa"/>
            <w:vAlign w:val="center"/>
          </w:tcPr>
          <w:p w14:paraId="2E16D8E2">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p>
        </w:tc>
      </w:tr>
      <w:tr w14:paraId="44700CB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5" w:type="dxa"/>
            <w:vAlign w:val="center"/>
          </w:tcPr>
          <w:p w14:paraId="21C3D52E">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7</w:t>
            </w:r>
          </w:p>
        </w:tc>
        <w:tc>
          <w:tcPr>
            <w:tcW w:w="2559" w:type="dxa"/>
            <w:vAlign w:val="center"/>
          </w:tcPr>
          <w:p w14:paraId="79A8B75A">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r>
              <w:rPr>
                <w:rFonts w:hint="eastAsia" w:ascii="宋体" w:hAnsi="宋体"/>
                <w:szCs w:val="21"/>
              </w:rPr>
              <w:t>联系方式</w:t>
            </w:r>
          </w:p>
        </w:tc>
        <w:tc>
          <w:tcPr>
            <w:tcW w:w="4432" w:type="dxa"/>
            <w:vAlign w:val="center"/>
          </w:tcPr>
          <w:p w14:paraId="32C583E6">
            <w:pPr>
              <w:keepNext w:val="0"/>
              <w:keepLines w:val="0"/>
              <w:pageBreakBefore w:val="0"/>
              <w:widowControl w:val="0"/>
              <w:kinsoku/>
              <w:wordWrap/>
              <w:overflowPunct/>
              <w:topLinePunct w:val="0"/>
              <w:autoSpaceDE/>
              <w:autoSpaceDN/>
              <w:bidi w:val="0"/>
              <w:spacing w:after="60"/>
              <w:textAlignment w:val="auto"/>
              <w:rPr>
                <w:rFonts w:ascii="宋体" w:hAnsi="宋体"/>
                <w:szCs w:val="21"/>
              </w:rPr>
            </w:pPr>
          </w:p>
        </w:tc>
        <w:tc>
          <w:tcPr>
            <w:tcW w:w="1411" w:type="dxa"/>
            <w:vAlign w:val="center"/>
          </w:tcPr>
          <w:p w14:paraId="0C3D1C77">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p>
        </w:tc>
      </w:tr>
      <w:tr w14:paraId="456921C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35" w:type="dxa"/>
            <w:vAlign w:val="center"/>
          </w:tcPr>
          <w:p w14:paraId="43BCD40E">
            <w:pPr>
              <w:keepNext w:val="0"/>
              <w:keepLines w:val="0"/>
              <w:pageBreakBefore w:val="0"/>
              <w:widowControl w:val="0"/>
              <w:kinsoku/>
              <w:wordWrap/>
              <w:overflowPunct/>
              <w:topLinePunct w:val="0"/>
              <w:autoSpaceDE/>
              <w:autoSpaceDN/>
              <w:bidi w:val="0"/>
              <w:spacing w:after="60"/>
              <w:jc w:val="center"/>
              <w:textAlignment w:val="auto"/>
              <w:rPr>
                <w:rFonts w:ascii="宋体" w:hAnsi="宋体"/>
                <w:b/>
                <w:szCs w:val="21"/>
              </w:rPr>
            </w:pPr>
            <w:r>
              <w:rPr>
                <w:rFonts w:hint="eastAsia" w:ascii="宋体" w:hAnsi="宋体"/>
                <w:b/>
                <w:szCs w:val="21"/>
              </w:rPr>
              <w:t>二</w:t>
            </w:r>
          </w:p>
        </w:tc>
        <w:tc>
          <w:tcPr>
            <w:tcW w:w="2559" w:type="dxa"/>
            <w:vAlign w:val="center"/>
          </w:tcPr>
          <w:p w14:paraId="676ADC42">
            <w:pPr>
              <w:keepNext w:val="0"/>
              <w:keepLines w:val="0"/>
              <w:pageBreakBefore w:val="0"/>
              <w:widowControl w:val="0"/>
              <w:kinsoku/>
              <w:wordWrap/>
              <w:overflowPunct/>
              <w:topLinePunct w:val="0"/>
              <w:autoSpaceDE/>
              <w:autoSpaceDN/>
              <w:bidi w:val="0"/>
              <w:spacing w:after="60"/>
              <w:jc w:val="left"/>
              <w:textAlignment w:val="auto"/>
              <w:rPr>
                <w:rFonts w:ascii="宋体" w:hAnsi="宋体"/>
                <w:b/>
                <w:szCs w:val="21"/>
              </w:rPr>
            </w:pPr>
            <w:r>
              <w:rPr>
                <w:rFonts w:hint="eastAsia" w:ascii="宋体" w:hAnsi="宋体"/>
                <w:b/>
                <w:szCs w:val="21"/>
              </w:rPr>
              <w:t>其他材料</w:t>
            </w:r>
          </w:p>
        </w:tc>
        <w:tc>
          <w:tcPr>
            <w:tcW w:w="4432" w:type="dxa"/>
            <w:vAlign w:val="center"/>
          </w:tcPr>
          <w:p w14:paraId="292A3FF0">
            <w:pPr>
              <w:keepNext w:val="0"/>
              <w:keepLines w:val="0"/>
              <w:pageBreakBefore w:val="0"/>
              <w:widowControl w:val="0"/>
              <w:kinsoku/>
              <w:wordWrap/>
              <w:overflowPunct/>
              <w:topLinePunct w:val="0"/>
              <w:autoSpaceDE/>
              <w:autoSpaceDN/>
              <w:bidi w:val="0"/>
              <w:spacing w:after="60"/>
              <w:textAlignment w:val="auto"/>
              <w:rPr>
                <w:rFonts w:ascii="宋体" w:hAnsi="宋体"/>
                <w:szCs w:val="21"/>
              </w:rPr>
            </w:pPr>
          </w:p>
        </w:tc>
        <w:tc>
          <w:tcPr>
            <w:tcW w:w="1411" w:type="dxa"/>
            <w:vAlign w:val="center"/>
          </w:tcPr>
          <w:p w14:paraId="2611EC36">
            <w:pPr>
              <w:keepNext w:val="0"/>
              <w:keepLines w:val="0"/>
              <w:pageBreakBefore w:val="0"/>
              <w:widowControl w:val="0"/>
              <w:kinsoku/>
              <w:wordWrap/>
              <w:overflowPunct/>
              <w:topLinePunct w:val="0"/>
              <w:autoSpaceDE/>
              <w:autoSpaceDN/>
              <w:bidi w:val="0"/>
              <w:spacing w:after="60"/>
              <w:jc w:val="center"/>
              <w:textAlignment w:val="auto"/>
              <w:rPr>
                <w:rFonts w:ascii="宋体" w:hAnsi="宋体"/>
                <w:szCs w:val="21"/>
              </w:rPr>
            </w:pPr>
          </w:p>
        </w:tc>
      </w:tr>
    </w:tbl>
    <w:p w14:paraId="062616B1">
      <w:pPr>
        <w:keepNext w:val="0"/>
        <w:keepLines w:val="0"/>
        <w:pageBreakBefore w:val="0"/>
        <w:widowControl w:val="0"/>
        <w:kinsoku/>
        <w:wordWrap/>
        <w:overflowPunct/>
        <w:topLinePunct w:val="0"/>
        <w:autoSpaceDE/>
        <w:autoSpaceDN/>
        <w:bidi w:val="0"/>
        <w:spacing w:line="360" w:lineRule="exact"/>
        <w:textAlignment w:val="auto"/>
        <w:rPr>
          <w:bCs/>
          <w:szCs w:val="21"/>
        </w:rPr>
      </w:pPr>
      <w:r>
        <w:rPr>
          <w:rFonts w:hint="eastAsia"/>
          <w:bCs/>
          <w:szCs w:val="21"/>
        </w:rPr>
        <w:t>注：供应商应填写上述表格内容，并可根据自身情况自行对表格内容进行补充和完善。</w:t>
      </w:r>
    </w:p>
    <w:p w14:paraId="56A5634F">
      <w:pPr>
        <w:keepNext w:val="0"/>
        <w:keepLines w:val="0"/>
        <w:pageBreakBefore w:val="0"/>
        <w:widowControl w:val="0"/>
        <w:kinsoku/>
        <w:wordWrap/>
        <w:overflowPunct/>
        <w:topLinePunct w:val="0"/>
        <w:autoSpaceDE/>
        <w:autoSpaceDN/>
        <w:bidi w:val="0"/>
        <w:ind w:left="632" w:hanging="632" w:hangingChars="300"/>
        <w:textAlignment w:val="auto"/>
        <w:rPr>
          <w:b/>
          <w:bCs/>
        </w:rPr>
      </w:pPr>
    </w:p>
    <w:p w14:paraId="755B55BE">
      <w:pPr>
        <w:keepNext w:val="0"/>
        <w:keepLines w:val="0"/>
        <w:pageBreakBefore w:val="0"/>
        <w:widowControl w:val="0"/>
        <w:kinsoku/>
        <w:wordWrap/>
        <w:overflowPunct/>
        <w:topLinePunct w:val="0"/>
        <w:autoSpaceDE/>
        <w:autoSpaceDN/>
        <w:bidi w:val="0"/>
        <w:textAlignment w:val="auto"/>
        <w:rPr>
          <w:rFonts w:ascii="宋体" w:hAnsi="宋体"/>
          <w:szCs w:val="21"/>
        </w:rPr>
      </w:pPr>
      <w:r>
        <w:rPr>
          <w:rFonts w:hint="eastAsia"/>
          <w:szCs w:val="21"/>
          <w:u w:val="single"/>
        </w:rPr>
        <w:t>（备注：如联合体投标，联合体各方均需提供情况介绍）</w:t>
      </w:r>
    </w:p>
    <w:p w14:paraId="756DACFA">
      <w:pPr>
        <w:keepNext w:val="0"/>
        <w:keepLines w:val="0"/>
        <w:pageBreakBefore w:val="0"/>
        <w:widowControl w:val="0"/>
        <w:kinsoku/>
        <w:wordWrap/>
        <w:overflowPunct/>
        <w:topLinePunct w:val="0"/>
        <w:autoSpaceDE/>
        <w:autoSpaceDN/>
        <w:bidi w:val="0"/>
        <w:ind w:left="632" w:hanging="632" w:hangingChars="300"/>
        <w:textAlignment w:val="auto"/>
        <w:rPr>
          <w:b/>
          <w:bCs/>
        </w:rPr>
      </w:pPr>
    </w:p>
    <w:p w14:paraId="1F1CB351">
      <w:pPr>
        <w:keepNext w:val="0"/>
        <w:keepLines w:val="0"/>
        <w:pageBreakBefore w:val="0"/>
        <w:widowControl w:val="0"/>
        <w:kinsoku/>
        <w:wordWrap/>
        <w:overflowPunct/>
        <w:topLinePunct w:val="0"/>
        <w:autoSpaceDE/>
        <w:autoSpaceDN/>
        <w:bidi w:val="0"/>
        <w:ind w:left="632" w:hanging="632" w:hangingChars="300"/>
        <w:textAlignment w:val="auto"/>
        <w:rPr>
          <w:b/>
          <w:bCs/>
        </w:rPr>
      </w:pPr>
    </w:p>
    <w:p w14:paraId="6532A66C">
      <w:pPr>
        <w:keepNext w:val="0"/>
        <w:keepLines w:val="0"/>
        <w:pageBreakBefore w:val="0"/>
        <w:widowControl w:val="0"/>
        <w:kinsoku/>
        <w:wordWrap/>
        <w:overflowPunct/>
        <w:topLinePunct w:val="0"/>
        <w:autoSpaceDE/>
        <w:autoSpaceDN/>
        <w:bidi w:val="0"/>
        <w:jc w:val="center"/>
        <w:textAlignment w:val="auto"/>
        <w:outlineLvl w:val="3"/>
        <w:rPr>
          <w:rFonts w:ascii="黑体" w:hAnsi="宋体" w:eastAsia="黑体"/>
          <w:bCs/>
          <w:kern w:val="0"/>
          <w:sz w:val="24"/>
          <w:szCs w:val="32"/>
        </w:rPr>
      </w:pPr>
      <w:r>
        <w:rPr>
          <w:rFonts w:hint="eastAsia" w:ascii="黑体" w:hAnsi="宋体" w:eastAsia="黑体"/>
          <w:bCs/>
          <w:kern w:val="0"/>
          <w:sz w:val="24"/>
          <w:szCs w:val="32"/>
        </w:rPr>
        <w:t>四、中小企业声明函等符合政府采购扶持政策的证明材料</w:t>
      </w:r>
    </w:p>
    <w:p w14:paraId="2FD10F6C">
      <w:pPr>
        <w:keepNext w:val="0"/>
        <w:keepLines w:val="0"/>
        <w:pageBreakBefore w:val="0"/>
        <w:widowControl w:val="0"/>
        <w:kinsoku/>
        <w:wordWrap/>
        <w:overflowPunct/>
        <w:topLinePunct w:val="0"/>
        <w:autoSpaceDE/>
        <w:autoSpaceDN/>
        <w:bidi w:val="0"/>
        <w:jc w:val="left"/>
        <w:textAlignment w:val="auto"/>
        <w:outlineLvl w:val="3"/>
        <w:rPr>
          <w:rFonts w:ascii="黑体" w:hAnsi="宋体" w:eastAsia="黑体"/>
          <w:bCs/>
          <w:kern w:val="0"/>
          <w:sz w:val="24"/>
          <w:szCs w:val="32"/>
        </w:rPr>
      </w:pPr>
    </w:p>
    <w:p w14:paraId="2F17F82E">
      <w:pPr>
        <w:keepNext w:val="0"/>
        <w:keepLines w:val="0"/>
        <w:pageBreakBefore w:val="0"/>
        <w:widowControl w:val="0"/>
        <w:kinsoku/>
        <w:wordWrap/>
        <w:overflowPunct/>
        <w:topLinePunct w:val="0"/>
        <w:autoSpaceDE/>
        <w:autoSpaceDN/>
        <w:bidi w:val="0"/>
        <w:snapToGrid w:val="0"/>
        <w:spacing w:line="360" w:lineRule="auto"/>
        <w:jc w:val="left"/>
        <w:textAlignment w:val="auto"/>
        <w:outlineLvl w:val="4"/>
        <w:rPr>
          <w:rFonts w:ascii="仿宋" w:hAnsi="仿宋" w:eastAsia="仿宋"/>
          <w:b/>
          <w:bCs/>
          <w:kern w:val="0"/>
          <w:sz w:val="25"/>
          <w:szCs w:val="25"/>
        </w:rPr>
      </w:pPr>
      <w:r>
        <w:rPr>
          <w:rFonts w:hint="eastAsia" w:ascii="仿宋" w:hAnsi="仿宋" w:eastAsia="仿宋"/>
          <w:b/>
          <w:bCs/>
          <w:kern w:val="0"/>
          <w:sz w:val="25"/>
          <w:szCs w:val="25"/>
        </w:rPr>
        <w:t>填写指引：</w:t>
      </w:r>
    </w:p>
    <w:p w14:paraId="6F48C0A2">
      <w:pPr>
        <w:keepNext w:val="0"/>
        <w:keepLines w:val="0"/>
        <w:pageBreakBefore w:val="0"/>
        <w:widowControl w:val="0"/>
        <w:kinsoku/>
        <w:wordWrap/>
        <w:overflowPunct/>
        <w:topLinePunct w:val="0"/>
        <w:autoSpaceDE/>
        <w:autoSpaceDN/>
        <w:bidi w:val="0"/>
        <w:snapToGrid w:val="0"/>
        <w:spacing w:line="360" w:lineRule="auto"/>
        <w:ind w:firstLine="424" w:firstLineChars="202"/>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1、该部分内容由投标人根据自身实际情况填写，投标人提供的声明函不属实的，属于提供虚假资料谋取中标，依照《中华人民共和国政府采购法》等国家有关规定追究相应责任。</w:t>
      </w:r>
    </w:p>
    <w:p w14:paraId="5DCB0444">
      <w:pPr>
        <w:keepNext w:val="0"/>
        <w:keepLines w:val="0"/>
        <w:pageBreakBefore w:val="0"/>
        <w:widowControl w:val="0"/>
        <w:kinsoku/>
        <w:wordWrap/>
        <w:overflowPunct/>
        <w:topLinePunct w:val="0"/>
        <w:autoSpaceDE/>
        <w:autoSpaceDN/>
        <w:bidi w:val="0"/>
        <w:snapToGrid w:val="0"/>
        <w:spacing w:line="360" w:lineRule="auto"/>
        <w:ind w:firstLine="426"/>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2、该部分内容填写需要参考的相关文件包括但不限于（具体内容详见附件）：</w:t>
      </w:r>
    </w:p>
    <w:p w14:paraId="738AEEB9">
      <w:pPr>
        <w:keepNext w:val="0"/>
        <w:keepLines w:val="0"/>
        <w:pageBreakBefore w:val="0"/>
        <w:widowControl w:val="0"/>
        <w:kinsoku/>
        <w:wordWrap/>
        <w:overflowPunct/>
        <w:topLinePunct w:val="0"/>
        <w:autoSpaceDE/>
        <w:autoSpaceDN/>
        <w:bidi w:val="0"/>
        <w:snapToGrid w:val="0"/>
        <w:spacing w:line="360" w:lineRule="auto"/>
        <w:ind w:firstLine="555"/>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1</w:t>
      </w:r>
      <w:r>
        <w:rPr>
          <w:rFonts w:hint="eastAsia" w:asciiTheme="minorEastAsia" w:hAnsiTheme="minorEastAsia" w:eastAsiaTheme="minorEastAsia"/>
          <w:kern w:val="0"/>
          <w:szCs w:val="21"/>
        </w:rPr>
        <w:t>)</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工业和信息化部关于印发《政府采购促进中小企业发展管理办法》的通知（财库〔2020〕46号）</w:t>
      </w:r>
    </w:p>
    <w:p w14:paraId="7D6F105C">
      <w:pPr>
        <w:keepNext w:val="0"/>
        <w:keepLines w:val="0"/>
        <w:pageBreakBefore w:val="0"/>
        <w:widowControl w:val="0"/>
        <w:kinsoku/>
        <w:wordWrap/>
        <w:overflowPunct/>
        <w:topLinePunct w:val="0"/>
        <w:autoSpaceDE/>
        <w:autoSpaceDN/>
        <w:bidi w:val="0"/>
        <w:snapToGrid w:val="0"/>
        <w:spacing w:line="360" w:lineRule="auto"/>
        <w:ind w:firstLine="555"/>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w:t>
      </w:r>
      <w:r>
        <w:rPr>
          <w:rFonts w:asciiTheme="minorEastAsia" w:hAnsiTheme="minorEastAsia" w:eastAsiaTheme="minorEastAsia"/>
          <w:kern w:val="0"/>
          <w:szCs w:val="21"/>
        </w:rPr>
        <w:t>2</w:t>
      </w:r>
      <w:r>
        <w:rPr>
          <w:rFonts w:hint="eastAsia" w:asciiTheme="minorEastAsia" w:hAnsiTheme="minorEastAsia" w:eastAsiaTheme="minorEastAsia"/>
          <w:kern w:val="0"/>
          <w:szCs w:val="21"/>
        </w:rPr>
        <w:t>)</w:t>
      </w:r>
      <w:bookmarkStart w:id="12" w:name="_Hlk71925120"/>
      <w:r>
        <w:rPr>
          <w:rFonts w:hint="eastAsia" w:asciiTheme="minorEastAsia" w:hAnsiTheme="minorEastAsia" w:eastAsiaTheme="minorEastAsia"/>
          <w:kern w:val="0"/>
          <w:szCs w:val="21"/>
        </w:rPr>
        <w:t>《关于印发中小企业划型标准规定的通知》（工信部联企业〔2011〕300 号</w:t>
      </w:r>
      <w:bookmarkEnd w:id="12"/>
      <w:r>
        <w:rPr>
          <w:rFonts w:hint="eastAsia" w:asciiTheme="minorEastAsia" w:hAnsiTheme="minorEastAsia" w:eastAsiaTheme="minorEastAsia"/>
          <w:kern w:val="0"/>
          <w:szCs w:val="21"/>
        </w:rPr>
        <w:t>）</w:t>
      </w:r>
    </w:p>
    <w:p w14:paraId="08007A35">
      <w:pPr>
        <w:keepNext w:val="0"/>
        <w:keepLines w:val="0"/>
        <w:pageBreakBefore w:val="0"/>
        <w:widowControl w:val="0"/>
        <w:kinsoku/>
        <w:wordWrap/>
        <w:overflowPunct/>
        <w:topLinePunct w:val="0"/>
        <w:autoSpaceDE/>
        <w:autoSpaceDN/>
        <w:bidi w:val="0"/>
        <w:snapToGrid w:val="0"/>
        <w:spacing w:line="360" w:lineRule="auto"/>
        <w:ind w:firstLine="555"/>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(3)</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国家统计局关于印发《统计上大中小微型企业划分办法 （2017）》的通知（国统字〔2017〕213 号）</w:t>
      </w:r>
    </w:p>
    <w:p w14:paraId="5C95AD0C">
      <w:pPr>
        <w:keepNext w:val="0"/>
        <w:keepLines w:val="0"/>
        <w:pageBreakBefore w:val="0"/>
        <w:widowControl w:val="0"/>
        <w:kinsoku/>
        <w:wordWrap/>
        <w:overflowPunct/>
        <w:topLinePunct w:val="0"/>
        <w:autoSpaceDE/>
        <w:autoSpaceDN/>
        <w:bidi w:val="0"/>
        <w:snapToGrid w:val="0"/>
        <w:spacing w:line="360" w:lineRule="auto"/>
        <w:ind w:firstLine="555"/>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(4)</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民政部 中国残疾人联合会关于促进残疾人就业 政府采购政策的通知（财库〔2017〕141号）</w:t>
      </w:r>
    </w:p>
    <w:p w14:paraId="34218CD8">
      <w:pPr>
        <w:keepNext w:val="0"/>
        <w:keepLines w:val="0"/>
        <w:pageBreakBefore w:val="0"/>
        <w:widowControl w:val="0"/>
        <w:kinsoku/>
        <w:wordWrap/>
        <w:overflowPunct/>
        <w:topLinePunct w:val="0"/>
        <w:autoSpaceDE/>
        <w:autoSpaceDN/>
        <w:bidi w:val="0"/>
        <w:snapToGrid w:val="0"/>
        <w:spacing w:line="360" w:lineRule="auto"/>
        <w:ind w:firstLine="555"/>
        <w:jc w:val="left"/>
        <w:textAlignment w:val="auto"/>
        <w:rPr>
          <w:rFonts w:asciiTheme="minorEastAsia" w:hAnsiTheme="minorEastAsia" w:eastAsiaTheme="minorEastAsia"/>
          <w:szCs w:val="21"/>
        </w:rPr>
      </w:pPr>
      <w:r>
        <w:rPr>
          <w:rFonts w:hint="eastAsia" w:asciiTheme="minorEastAsia" w:hAnsiTheme="minorEastAsia" w:eastAsiaTheme="minorEastAsia"/>
          <w:kern w:val="0"/>
          <w:szCs w:val="21"/>
        </w:rPr>
        <w:t>(5)</w:t>
      </w:r>
      <w:r>
        <w:rPr>
          <w:rFonts w:hint="eastAsia" w:asciiTheme="minorEastAsia" w:hAnsiTheme="minorEastAsia" w:eastAsiaTheme="minorEastAsia"/>
          <w:szCs w:val="21"/>
        </w:rPr>
        <w:t xml:space="preserve"> </w:t>
      </w:r>
      <w:r>
        <w:rPr>
          <w:rFonts w:hint="eastAsia" w:asciiTheme="minorEastAsia" w:hAnsiTheme="minorEastAsia" w:eastAsiaTheme="minorEastAsia"/>
          <w:kern w:val="0"/>
          <w:szCs w:val="21"/>
        </w:rPr>
        <w:t>财政部 司法部关于政府采购支持监狱企业发展有关问题的通知（财库〔2014〕68号）</w:t>
      </w:r>
    </w:p>
    <w:p w14:paraId="4BB4BE1A">
      <w:pPr>
        <w:keepNext w:val="0"/>
        <w:keepLines w:val="0"/>
        <w:pageBreakBefore w:val="0"/>
        <w:widowControl w:val="0"/>
        <w:kinsoku/>
        <w:wordWrap/>
        <w:overflowPunct/>
        <w:topLinePunct w:val="0"/>
        <w:autoSpaceDE/>
        <w:autoSpaceDN/>
        <w:bidi w:val="0"/>
        <w:snapToGrid w:val="0"/>
        <w:spacing w:line="360" w:lineRule="auto"/>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3、请依照招标文件提供的格式和内容填写声明函，不要随意变更格式；声明函不需要盖章或签字；满足多项优惠政策的投标人，不重复享受多项价格扣除政策。</w:t>
      </w:r>
    </w:p>
    <w:p w14:paraId="373D51BE">
      <w:pPr>
        <w:keepNext w:val="0"/>
        <w:keepLines w:val="0"/>
        <w:pageBreakBefore w:val="0"/>
        <w:widowControl w:val="0"/>
        <w:kinsoku/>
        <w:wordWrap/>
        <w:overflowPunct/>
        <w:topLinePunct w:val="0"/>
        <w:autoSpaceDE/>
        <w:autoSpaceDN/>
        <w:bidi w:val="0"/>
        <w:snapToGrid w:val="0"/>
        <w:spacing w:line="360" w:lineRule="auto"/>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4、《中小企业声明函》填写要求：</w:t>
      </w:r>
    </w:p>
    <w:p w14:paraId="23DBF7D1">
      <w:pPr>
        <w:keepNext w:val="0"/>
        <w:keepLines w:val="0"/>
        <w:pageBreakBefore w:val="0"/>
        <w:widowControl w:val="0"/>
        <w:kinsoku/>
        <w:wordWrap/>
        <w:overflowPunct/>
        <w:topLinePunct w:val="0"/>
        <w:autoSpaceDE/>
        <w:autoSpaceDN/>
        <w:bidi w:val="0"/>
        <w:snapToGrid w:val="0"/>
        <w:spacing w:line="360" w:lineRule="auto"/>
        <w:ind w:firstLine="424" w:firstLineChars="202"/>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（1）在“单位名称”下划线处如实填写</w:t>
      </w:r>
      <w:r>
        <w:rPr>
          <w:rFonts w:hint="eastAsia" w:asciiTheme="minorEastAsia" w:hAnsiTheme="minorEastAsia" w:eastAsiaTheme="minorEastAsia"/>
          <w:b/>
          <w:color w:val="FF0000"/>
          <w:kern w:val="0"/>
          <w:szCs w:val="21"/>
        </w:rPr>
        <w:t>采购人名称（详见采购人信息，非采购代理机构）</w:t>
      </w:r>
      <w:r>
        <w:rPr>
          <w:rFonts w:hint="eastAsia" w:asciiTheme="minorEastAsia" w:hAnsiTheme="minorEastAsia" w:eastAsiaTheme="minorEastAsia"/>
          <w:kern w:val="0"/>
          <w:szCs w:val="21"/>
        </w:rPr>
        <w:t>；</w:t>
      </w:r>
    </w:p>
    <w:p w14:paraId="28E1DB9C">
      <w:pPr>
        <w:keepNext w:val="0"/>
        <w:keepLines w:val="0"/>
        <w:pageBreakBefore w:val="0"/>
        <w:widowControl w:val="0"/>
        <w:kinsoku/>
        <w:wordWrap/>
        <w:overflowPunct/>
        <w:topLinePunct w:val="0"/>
        <w:autoSpaceDE/>
        <w:autoSpaceDN/>
        <w:bidi w:val="0"/>
        <w:snapToGrid w:val="0"/>
        <w:spacing w:line="360" w:lineRule="auto"/>
        <w:ind w:firstLine="424" w:firstLineChars="202"/>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（2）在“项目名称”下划线处如实填写</w:t>
      </w:r>
      <w:r>
        <w:rPr>
          <w:rFonts w:hint="eastAsia" w:asciiTheme="minorEastAsia" w:hAnsiTheme="minorEastAsia" w:eastAsiaTheme="minorEastAsia"/>
          <w:b/>
          <w:color w:val="FF0000"/>
          <w:kern w:val="0"/>
          <w:szCs w:val="21"/>
        </w:rPr>
        <w:t>采购项目名称</w:t>
      </w:r>
      <w:r>
        <w:rPr>
          <w:rFonts w:hint="eastAsia" w:asciiTheme="minorEastAsia" w:hAnsiTheme="minorEastAsia" w:eastAsiaTheme="minorEastAsia"/>
          <w:kern w:val="0"/>
          <w:szCs w:val="21"/>
        </w:rPr>
        <w:t>；</w:t>
      </w:r>
    </w:p>
    <w:p w14:paraId="34C0C3F8">
      <w:pPr>
        <w:keepNext w:val="0"/>
        <w:keepLines w:val="0"/>
        <w:pageBreakBefore w:val="0"/>
        <w:widowControl w:val="0"/>
        <w:kinsoku/>
        <w:wordWrap/>
        <w:overflowPunct/>
        <w:topLinePunct w:val="0"/>
        <w:autoSpaceDE/>
        <w:autoSpaceDN/>
        <w:bidi w:val="0"/>
        <w:snapToGrid w:val="0"/>
        <w:spacing w:line="360" w:lineRule="auto"/>
        <w:ind w:firstLine="424" w:firstLineChars="202"/>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（3）在“标的名称”下划线处填写</w:t>
      </w:r>
      <w:r>
        <w:rPr>
          <w:rFonts w:hint="eastAsia" w:asciiTheme="minorEastAsia" w:hAnsiTheme="minorEastAsia" w:eastAsiaTheme="minorEastAsia"/>
          <w:b/>
          <w:color w:val="FF0000"/>
          <w:kern w:val="0"/>
          <w:szCs w:val="21"/>
        </w:rPr>
        <w:t>采购标的（货物或服务或工程）的具体名称</w:t>
      </w:r>
      <w:r>
        <w:rPr>
          <w:rFonts w:hint="eastAsia" w:asciiTheme="minorEastAsia" w:hAnsiTheme="minorEastAsia" w:eastAsiaTheme="minorEastAsia"/>
          <w:b/>
          <w:bCs/>
          <w:color w:val="FF0000"/>
          <w:kern w:val="0"/>
          <w:szCs w:val="21"/>
        </w:rPr>
        <w:t>（具体详见第二章招标项目需求，如涉及多项标的，投标人需逐项进行响应）</w:t>
      </w:r>
      <w:r>
        <w:rPr>
          <w:rFonts w:hint="eastAsia" w:asciiTheme="minorEastAsia" w:hAnsiTheme="minorEastAsia" w:eastAsiaTheme="minorEastAsia"/>
          <w:kern w:val="0"/>
          <w:szCs w:val="21"/>
        </w:rPr>
        <w:t>；</w:t>
      </w:r>
    </w:p>
    <w:p w14:paraId="559AB909">
      <w:pPr>
        <w:keepNext w:val="0"/>
        <w:keepLines w:val="0"/>
        <w:pageBreakBefore w:val="0"/>
        <w:widowControl w:val="0"/>
        <w:kinsoku/>
        <w:wordWrap/>
        <w:overflowPunct/>
        <w:topLinePunct w:val="0"/>
        <w:autoSpaceDE/>
        <w:autoSpaceDN/>
        <w:bidi w:val="0"/>
        <w:snapToGrid w:val="0"/>
        <w:spacing w:line="360" w:lineRule="auto"/>
        <w:ind w:firstLine="424" w:firstLineChars="202"/>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（4）在“</w:t>
      </w:r>
      <w:r>
        <w:rPr>
          <w:rFonts w:asciiTheme="minorEastAsia" w:hAnsiTheme="minorEastAsia" w:eastAsiaTheme="minorEastAsia"/>
          <w:szCs w:val="21"/>
        </w:rPr>
        <w:t>采购文件</w:t>
      </w:r>
      <w:r>
        <w:rPr>
          <w:rFonts w:hint="eastAsia" w:asciiTheme="minorEastAsia" w:hAnsiTheme="minorEastAsia" w:eastAsiaTheme="minorEastAsia"/>
          <w:kern w:val="0"/>
          <w:szCs w:val="21"/>
        </w:rPr>
        <w:t>中明确的所属行业”下划线处填写</w:t>
      </w:r>
      <w:r>
        <w:rPr>
          <w:rFonts w:hint="eastAsia" w:asciiTheme="minorEastAsia" w:hAnsiTheme="minorEastAsia" w:eastAsiaTheme="minorEastAsia"/>
          <w:b/>
          <w:color w:val="FF0000"/>
          <w:kern w:val="0"/>
          <w:szCs w:val="21"/>
        </w:rPr>
        <w:t>采购文件规定的本项目所属行业</w:t>
      </w:r>
      <w:r>
        <w:rPr>
          <w:rFonts w:hint="eastAsia" w:asciiTheme="minorEastAsia" w:hAnsiTheme="minorEastAsia" w:eastAsiaTheme="minorEastAsia"/>
          <w:b/>
          <w:bCs/>
          <w:color w:val="FF0000"/>
          <w:kern w:val="0"/>
          <w:szCs w:val="21"/>
        </w:rPr>
        <w:t>（详见其它关键信息）</w:t>
      </w:r>
      <w:r>
        <w:rPr>
          <w:rFonts w:hint="eastAsia" w:asciiTheme="minorEastAsia" w:hAnsiTheme="minorEastAsia" w:eastAsiaTheme="minorEastAsia"/>
          <w:kern w:val="0"/>
          <w:szCs w:val="21"/>
        </w:rPr>
        <w:t>；</w:t>
      </w:r>
    </w:p>
    <w:p w14:paraId="36BF461D">
      <w:pPr>
        <w:keepNext w:val="0"/>
        <w:keepLines w:val="0"/>
        <w:pageBreakBefore w:val="0"/>
        <w:widowControl w:val="0"/>
        <w:kinsoku/>
        <w:wordWrap/>
        <w:overflowPunct/>
        <w:topLinePunct w:val="0"/>
        <w:autoSpaceDE/>
        <w:autoSpaceDN/>
        <w:bidi w:val="0"/>
        <w:snapToGrid w:val="0"/>
        <w:spacing w:line="360" w:lineRule="auto"/>
        <w:ind w:firstLine="424" w:firstLineChars="202"/>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（5）在“从业人员”、“营业收入”、“资产总额”下划线处如实填写</w:t>
      </w:r>
      <w:r>
        <w:rPr>
          <w:rFonts w:hint="eastAsia" w:asciiTheme="minorEastAsia" w:hAnsiTheme="minorEastAsia" w:eastAsiaTheme="minorEastAsia"/>
          <w:b/>
          <w:color w:val="FF0000"/>
          <w:kern w:val="0"/>
          <w:szCs w:val="21"/>
        </w:rPr>
        <w:t>制造商（货物类）或承接企业（服务或工程类）</w:t>
      </w:r>
      <w:r>
        <w:rPr>
          <w:rFonts w:hint="eastAsia" w:asciiTheme="minorEastAsia" w:hAnsiTheme="minorEastAsia" w:eastAsiaTheme="minorEastAsia"/>
          <w:kern w:val="0"/>
          <w:szCs w:val="21"/>
        </w:rPr>
        <w:t>上一年度从业人员、营业收入、资产总额，无上一年度数据的新成立企业可以不填报；</w:t>
      </w:r>
    </w:p>
    <w:p w14:paraId="593F0DD4">
      <w:pPr>
        <w:keepNext w:val="0"/>
        <w:keepLines w:val="0"/>
        <w:pageBreakBefore w:val="0"/>
        <w:widowControl w:val="0"/>
        <w:kinsoku/>
        <w:wordWrap/>
        <w:overflowPunct/>
        <w:topLinePunct w:val="0"/>
        <w:autoSpaceDE/>
        <w:autoSpaceDN/>
        <w:bidi w:val="0"/>
        <w:snapToGrid w:val="0"/>
        <w:spacing w:line="360" w:lineRule="auto"/>
        <w:ind w:firstLine="424" w:firstLineChars="202"/>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（6）在“中型企业、小型企业、微型企业”下划线处如实依照工信部联企业〔2011〕300号文填写相应的企业类型；</w:t>
      </w:r>
    </w:p>
    <w:p w14:paraId="30EF5ED4">
      <w:pPr>
        <w:keepNext w:val="0"/>
        <w:keepLines w:val="0"/>
        <w:pageBreakBefore w:val="0"/>
        <w:widowControl w:val="0"/>
        <w:kinsoku/>
        <w:wordWrap/>
        <w:overflowPunct/>
        <w:topLinePunct w:val="0"/>
        <w:autoSpaceDE/>
        <w:autoSpaceDN/>
        <w:bidi w:val="0"/>
        <w:snapToGrid w:val="0"/>
        <w:spacing w:line="360" w:lineRule="auto"/>
        <w:ind w:firstLine="426" w:firstLineChars="202"/>
        <w:jc w:val="left"/>
        <w:textAlignment w:val="auto"/>
        <w:rPr>
          <w:rFonts w:asciiTheme="minorEastAsia" w:hAnsiTheme="minorEastAsia" w:eastAsiaTheme="minorEastAsia"/>
          <w:b/>
          <w:color w:val="FF0000"/>
          <w:kern w:val="0"/>
          <w:szCs w:val="21"/>
        </w:rPr>
      </w:pPr>
      <w:r>
        <w:rPr>
          <w:rFonts w:hint="eastAsia" w:asciiTheme="minorEastAsia" w:hAnsiTheme="minorEastAsia" w:eastAsiaTheme="minorEastAsia"/>
          <w:b/>
          <w:color w:val="FF0000"/>
          <w:kern w:val="0"/>
          <w:szCs w:val="21"/>
        </w:rPr>
        <w:t>（7）如为联合体投标或以分包形式投标的，需分别填写每家中小企业的企业名称、从业人员、营业收入、资产总额、企业类别（中型企业、小型企业、微型企业）等信息；</w:t>
      </w:r>
    </w:p>
    <w:p w14:paraId="1003ECF8">
      <w:pPr>
        <w:keepNext w:val="0"/>
        <w:keepLines w:val="0"/>
        <w:pageBreakBefore w:val="0"/>
        <w:widowControl w:val="0"/>
        <w:kinsoku/>
        <w:wordWrap/>
        <w:overflowPunct/>
        <w:topLinePunct w:val="0"/>
        <w:autoSpaceDE/>
        <w:autoSpaceDN/>
        <w:bidi w:val="0"/>
        <w:snapToGrid w:val="0"/>
        <w:spacing w:line="360" w:lineRule="auto"/>
        <w:ind w:firstLine="426" w:firstLineChars="202"/>
        <w:jc w:val="left"/>
        <w:textAlignment w:val="auto"/>
        <w:rPr>
          <w:rFonts w:asciiTheme="minorEastAsia" w:hAnsiTheme="minorEastAsia" w:eastAsiaTheme="minorEastAsia"/>
          <w:b/>
          <w:color w:val="FF0000"/>
          <w:kern w:val="0"/>
          <w:szCs w:val="21"/>
        </w:rPr>
      </w:pPr>
      <w:r>
        <w:rPr>
          <w:rFonts w:hint="eastAsia" w:asciiTheme="minorEastAsia" w:hAnsiTheme="minorEastAsia" w:eastAsiaTheme="minorEastAsia"/>
          <w:b/>
          <w:color w:val="FF0000"/>
          <w:kern w:val="0"/>
          <w:szCs w:val="21"/>
        </w:rPr>
        <w:t>（8）</w:t>
      </w:r>
      <w:r>
        <w:rPr>
          <w:rFonts w:hint="eastAsia" w:asciiTheme="minorHAnsi" w:hAnsiTheme="minorHAnsi" w:eastAsiaTheme="minorEastAsia" w:cstheme="minorBidi"/>
          <w:b/>
          <w:color w:val="FF0000"/>
        </w:rPr>
        <w:t>《中小企业声明函》中制造商、承接/承建企业所属行业应当与招标文件要求的行业相一致</w:t>
      </w:r>
      <w:r>
        <w:rPr>
          <w:rFonts w:hint="eastAsia" w:asciiTheme="minorHAnsi" w:hAnsiTheme="minorHAnsi" w:eastAsiaTheme="minorEastAsia" w:cstheme="minorBidi"/>
        </w:rPr>
        <w:t>，供应商如有疑问，可根据《国民经济行业分类》（GB/T 4754-2017），结合《关于印发中小企业划型标准规定的通知》（工信部联企业〔2011〕300 号）进行判断。事业单位、社会组织等非企业主体不享受中小企业扶持政策，但事业单位、社会组织等非企业主体提供全部由中小企业制造的货物参加货物采购项目的除外。</w:t>
      </w:r>
    </w:p>
    <w:p w14:paraId="620214AE">
      <w:pPr>
        <w:keepNext w:val="0"/>
        <w:keepLines w:val="0"/>
        <w:pageBreakBefore w:val="0"/>
        <w:widowControl w:val="0"/>
        <w:kinsoku/>
        <w:wordWrap/>
        <w:overflowPunct/>
        <w:topLinePunct w:val="0"/>
        <w:autoSpaceDE/>
        <w:autoSpaceDN/>
        <w:bidi w:val="0"/>
        <w:jc w:val="center"/>
        <w:textAlignment w:val="auto"/>
        <w:outlineLvl w:val="3"/>
        <w:rPr>
          <w:rFonts w:ascii="黑体" w:hAnsi="宋体" w:eastAsia="黑体"/>
          <w:bCs/>
          <w:kern w:val="0"/>
          <w:sz w:val="24"/>
          <w:szCs w:val="32"/>
        </w:rPr>
      </w:pPr>
    </w:p>
    <w:p w14:paraId="5039E8D0">
      <w:pPr>
        <w:keepNext w:val="0"/>
        <w:keepLines w:val="0"/>
        <w:pageBreakBefore w:val="0"/>
        <w:widowControl w:val="0"/>
        <w:kinsoku/>
        <w:wordWrap/>
        <w:overflowPunct/>
        <w:topLinePunct w:val="0"/>
        <w:autoSpaceDE/>
        <w:autoSpaceDN/>
        <w:bidi w:val="0"/>
        <w:spacing w:after="60"/>
        <w:jc w:val="center"/>
        <w:textAlignment w:val="auto"/>
        <w:outlineLvl w:val="3"/>
        <w:rPr>
          <w:b/>
          <w:sz w:val="24"/>
        </w:rPr>
      </w:pPr>
      <w:r>
        <w:rPr>
          <w:rFonts w:hint="eastAsia"/>
          <w:b/>
          <w:sz w:val="24"/>
        </w:rPr>
        <w:t>1、中小企业声明函</w:t>
      </w:r>
    </w:p>
    <w:p w14:paraId="65EC7FBF">
      <w:pPr>
        <w:pStyle w:val="19"/>
        <w:keepNext w:val="0"/>
        <w:keepLines w:val="0"/>
        <w:pageBreakBefore w:val="0"/>
        <w:widowControl w:val="0"/>
        <w:kinsoku/>
        <w:wordWrap/>
        <w:overflowPunct/>
        <w:topLinePunct w:val="0"/>
        <w:autoSpaceDE/>
        <w:autoSpaceDN/>
        <w:bidi w:val="0"/>
        <w:spacing w:line="360" w:lineRule="exact"/>
        <w:ind w:firstLine="412"/>
        <w:textAlignment w:val="auto"/>
        <w:rPr>
          <w:rFonts w:asciiTheme="minorEastAsia" w:hAnsiTheme="minorEastAsia" w:eastAsiaTheme="minorEastAsia"/>
          <w:b w:val="0"/>
          <w:sz w:val="21"/>
          <w:szCs w:val="21"/>
        </w:rPr>
      </w:pPr>
      <w:r>
        <w:rPr>
          <w:rFonts w:asciiTheme="minorEastAsia" w:hAnsiTheme="minorEastAsia" w:eastAsiaTheme="minorEastAsia"/>
          <w:b w:val="0"/>
          <w:sz w:val="21"/>
          <w:szCs w:val="21"/>
        </w:rPr>
        <w:t>本公司（联合体）郑重声明，根据《政府采购促进中小企业发展管理办法》（财库</w:t>
      </w:r>
      <w:r>
        <w:rPr>
          <w:rFonts w:hint="eastAsia" w:asciiTheme="minorEastAsia" w:hAnsiTheme="minorEastAsia" w:eastAsiaTheme="minorEastAsia"/>
          <w:b w:val="0"/>
          <w:sz w:val="21"/>
          <w:szCs w:val="21"/>
        </w:rPr>
        <w:t>﹝</w:t>
      </w:r>
      <w:r>
        <w:rPr>
          <w:rFonts w:asciiTheme="minorEastAsia" w:hAnsiTheme="minorEastAsia" w:eastAsiaTheme="minorEastAsia"/>
          <w:b w:val="0"/>
          <w:sz w:val="21"/>
          <w:szCs w:val="21"/>
        </w:rPr>
        <w:t>2020</w:t>
      </w:r>
      <w:r>
        <w:rPr>
          <w:rFonts w:hint="eastAsia" w:asciiTheme="minorEastAsia" w:hAnsiTheme="minorEastAsia" w:eastAsiaTheme="minorEastAsia"/>
          <w:b w:val="0"/>
          <w:sz w:val="21"/>
          <w:szCs w:val="21"/>
        </w:rPr>
        <w:t>﹞</w:t>
      </w:r>
      <w:r>
        <w:rPr>
          <w:rFonts w:asciiTheme="minorEastAsia" w:hAnsiTheme="minorEastAsia" w:eastAsiaTheme="minorEastAsia"/>
          <w:b w:val="0"/>
          <w:sz w:val="21"/>
          <w:szCs w:val="21"/>
        </w:rPr>
        <w:t>46 号）的规定，本公司（联合体）参加</w:t>
      </w:r>
      <w:r>
        <w:rPr>
          <w:rFonts w:asciiTheme="minorEastAsia" w:hAnsiTheme="minorEastAsia" w:eastAsiaTheme="minorEastAsia"/>
          <w:b w:val="0"/>
          <w:sz w:val="21"/>
          <w:szCs w:val="21"/>
          <w:u w:val="single"/>
        </w:rPr>
        <w:t>（单位名称）</w:t>
      </w:r>
      <w:r>
        <w:rPr>
          <w:rFonts w:asciiTheme="minorEastAsia" w:hAnsiTheme="minorEastAsia" w:eastAsiaTheme="minorEastAsia"/>
          <w:b w:val="0"/>
          <w:sz w:val="21"/>
          <w:szCs w:val="21"/>
        </w:rPr>
        <w:t>的</w:t>
      </w:r>
      <w:r>
        <w:rPr>
          <w:rFonts w:asciiTheme="minorEastAsia" w:hAnsiTheme="minorEastAsia" w:eastAsiaTheme="minorEastAsia"/>
          <w:b w:val="0"/>
          <w:sz w:val="21"/>
          <w:szCs w:val="21"/>
          <w:u w:val="single"/>
        </w:rPr>
        <w:t>（项目名称）</w:t>
      </w:r>
      <w:r>
        <w:rPr>
          <w:rFonts w:asciiTheme="minorEastAsia" w:hAnsiTheme="minorEastAsia" w:eastAsiaTheme="minorEastAsia"/>
          <w:b w:val="0"/>
          <w:sz w:val="21"/>
          <w:szCs w:val="21"/>
        </w:rPr>
        <w:t>采购活动，</w:t>
      </w:r>
      <w:r>
        <w:rPr>
          <w:rFonts w:hint="eastAsia" w:asciiTheme="minorEastAsia" w:hAnsiTheme="minorEastAsia" w:eastAsiaTheme="minorEastAsia"/>
          <w:b w:val="0"/>
          <w:sz w:val="21"/>
          <w:szCs w:val="21"/>
        </w:rPr>
        <w:t>服务全部由符合政策要求的中小企业承接</w:t>
      </w:r>
      <w:r>
        <w:rPr>
          <w:rFonts w:asciiTheme="minorEastAsia" w:hAnsiTheme="minorEastAsia" w:eastAsiaTheme="minorEastAsia"/>
          <w:b w:val="0"/>
          <w:sz w:val="21"/>
          <w:szCs w:val="21"/>
        </w:rPr>
        <w:t>。相关企业（含联合体中的中小企业、签订分包意向协议的中小企业）的具体情况如下：</w:t>
      </w:r>
    </w:p>
    <w:p w14:paraId="6BC2D5DB">
      <w:pPr>
        <w:pStyle w:val="19"/>
        <w:keepNext w:val="0"/>
        <w:keepLines w:val="0"/>
        <w:pageBreakBefore w:val="0"/>
        <w:widowControl w:val="0"/>
        <w:kinsoku/>
        <w:wordWrap/>
        <w:overflowPunct/>
        <w:topLinePunct w:val="0"/>
        <w:autoSpaceDE/>
        <w:autoSpaceDN/>
        <w:bidi w:val="0"/>
        <w:spacing w:line="360" w:lineRule="exact"/>
        <w:ind w:firstLine="412"/>
        <w:textAlignment w:val="auto"/>
        <w:rPr>
          <w:rFonts w:asciiTheme="minorEastAsia" w:hAnsiTheme="minorEastAsia" w:eastAsiaTheme="minorEastAsia"/>
          <w:b w:val="0"/>
          <w:sz w:val="21"/>
          <w:szCs w:val="21"/>
        </w:rPr>
      </w:pPr>
      <w:r>
        <w:rPr>
          <w:rFonts w:hint="eastAsia" w:asciiTheme="minorEastAsia" w:hAnsiTheme="minorEastAsia" w:eastAsiaTheme="minorEastAsia"/>
          <w:b w:val="0"/>
          <w:sz w:val="21"/>
          <w:szCs w:val="21"/>
        </w:rPr>
        <w:t xml:space="preserve">1. </w:t>
      </w:r>
      <w:r>
        <w:rPr>
          <w:rFonts w:asciiTheme="minorEastAsia" w:hAnsiTheme="minorEastAsia" w:eastAsiaTheme="minorEastAsia"/>
          <w:b w:val="0"/>
          <w:sz w:val="21"/>
          <w:szCs w:val="21"/>
          <w:u w:val="single"/>
        </w:rPr>
        <w:t>（标的名称）</w:t>
      </w:r>
      <w:r>
        <w:rPr>
          <w:rFonts w:asciiTheme="minorEastAsia" w:hAnsiTheme="minorEastAsia" w:eastAsiaTheme="minorEastAsia"/>
          <w:b w:val="0"/>
          <w:sz w:val="21"/>
          <w:szCs w:val="21"/>
        </w:rPr>
        <w:t>，属于</w:t>
      </w:r>
      <w:r>
        <w:rPr>
          <w:rFonts w:asciiTheme="minorEastAsia" w:hAnsiTheme="minorEastAsia" w:eastAsiaTheme="minorEastAsia"/>
          <w:b w:val="0"/>
          <w:sz w:val="21"/>
          <w:szCs w:val="21"/>
          <w:u w:val="single"/>
        </w:rPr>
        <w:t>（采购文件中明确的所属行业）</w:t>
      </w:r>
      <w:r>
        <w:rPr>
          <w:rFonts w:asciiTheme="minorEastAsia" w:hAnsiTheme="minorEastAsia" w:eastAsiaTheme="minorEastAsia"/>
          <w:b w:val="0"/>
          <w:sz w:val="21"/>
          <w:szCs w:val="21"/>
        </w:rPr>
        <w:t>；承接企业为</w:t>
      </w:r>
      <w:r>
        <w:rPr>
          <w:rFonts w:asciiTheme="minorEastAsia" w:hAnsiTheme="minorEastAsia" w:eastAsiaTheme="minorEastAsia"/>
          <w:b w:val="0"/>
          <w:sz w:val="21"/>
          <w:szCs w:val="21"/>
          <w:u w:val="single"/>
        </w:rPr>
        <w:t>（企业名称）</w:t>
      </w:r>
      <w:r>
        <w:rPr>
          <w:rFonts w:asciiTheme="minorEastAsia" w:hAnsiTheme="minorEastAsia" w:eastAsiaTheme="minorEastAsia"/>
          <w:b w:val="0"/>
          <w:sz w:val="21"/>
          <w:szCs w:val="21"/>
        </w:rPr>
        <w:t>，从业人员</w:t>
      </w:r>
      <w:r>
        <w:rPr>
          <w:rFonts w:asciiTheme="minorEastAsia" w:hAnsiTheme="minorEastAsia" w:eastAsiaTheme="minorEastAsia"/>
          <w:b w:val="0"/>
          <w:sz w:val="21"/>
          <w:szCs w:val="21"/>
          <w:u w:val="single"/>
        </w:rPr>
        <w:t xml:space="preserve"> </w:t>
      </w:r>
      <w:r>
        <w:rPr>
          <w:rFonts w:asciiTheme="minorEastAsia" w:hAnsiTheme="minorEastAsia" w:eastAsiaTheme="minorEastAsia"/>
          <w:b w:val="0"/>
          <w:sz w:val="21"/>
          <w:szCs w:val="21"/>
          <w:u w:val="single"/>
        </w:rPr>
        <w:tab/>
      </w:r>
      <w:r>
        <w:rPr>
          <w:rFonts w:asciiTheme="minorEastAsia" w:hAnsiTheme="minorEastAsia" w:eastAsiaTheme="minorEastAsia"/>
          <w:b w:val="0"/>
          <w:sz w:val="21"/>
          <w:szCs w:val="21"/>
        </w:rPr>
        <w:t>人，营业收入为</w:t>
      </w:r>
      <w:r>
        <w:rPr>
          <w:rFonts w:asciiTheme="minorEastAsia" w:hAnsiTheme="minorEastAsia" w:eastAsiaTheme="minorEastAsia"/>
          <w:b w:val="0"/>
          <w:sz w:val="21"/>
          <w:szCs w:val="21"/>
          <w:u w:val="single"/>
        </w:rPr>
        <w:t xml:space="preserve"> </w:t>
      </w:r>
      <w:r>
        <w:rPr>
          <w:rFonts w:asciiTheme="minorEastAsia" w:hAnsiTheme="minorEastAsia" w:eastAsiaTheme="minorEastAsia"/>
          <w:b w:val="0"/>
          <w:sz w:val="21"/>
          <w:szCs w:val="21"/>
          <w:u w:val="single"/>
        </w:rPr>
        <w:tab/>
      </w:r>
      <w:r>
        <w:rPr>
          <w:rFonts w:hint="eastAsia" w:asciiTheme="minorEastAsia" w:hAnsiTheme="minorEastAsia" w:eastAsiaTheme="minorEastAsia"/>
          <w:b w:val="0"/>
          <w:sz w:val="21"/>
          <w:szCs w:val="21"/>
          <w:u w:val="single"/>
        </w:rPr>
        <w:t xml:space="preserve">  </w:t>
      </w:r>
      <w:r>
        <w:rPr>
          <w:rFonts w:asciiTheme="minorEastAsia" w:hAnsiTheme="minorEastAsia" w:eastAsiaTheme="minorEastAsia"/>
          <w:b w:val="0"/>
          <w:sz w:val="21"/>
          <w:szCs w:val="21"/>
        </w:rPr>
        <w:t>万元，资产总额为</w:t>
      </w:r>
      <w:r>
        <w:rPr>
          <w:rFonts w:hint="eastAsia" w:asciiTheme="minorEastAsia" w:hAnsiTheme="minorEastAsia" w:eastAsiaTheme="minorEastAsia"/>
          <w:b w:val="0"/>
          <w:sz w:val="21"/>
          <w:szCs w:val="21"/>
          <w:u w:val="single"/>
        </w:rPr>
        <w:t xml:space="preserve">     </w:t>
      </w:r>
      <w:r>
        <w:rPr>
          <w:rFonts w:asciiTheme="minorEastAsia" w:hAnsiTheme="minorEastAsia" w:eastAsiaTheme="minorEastAsia"/>
          <w:b w:val="0"/>
          <w:sz w:val="21"/>
          <w:szCs w:val="21"/>
        </w:rPr>
        <w:t>万元，属于</w:t>
      </w:r>
      <w:r>
        <w:rPr>
          <w:rFonts w:asciiTheme="minorEastAsia" w:hAnsiTheme="minorEastAsia" w:eastAsiaTheme="minorEastAsia"/>
          <w:b w:val="0"/>
          <w:sz w:val="21"/>
          <w:szCs w:val="21"/>
          <w:u w:val="single"/>
        </w:rPr>
        <w:t>（中型企业、小型企业、微型企业）</w:t>
      </w:r>
      <w:r>
        <w:rPr>
          <w:rFonts w:asciiTheme="minorEastAsia" w:hAnsiTheme="minorEastAsia" w:eastAsiaTheme="minorEastAsia"/>
          <w:b w:val="0"/>
          <w:sz w:val="21"/>
          <w:szCs w:val="21"/>
        </w:rPr>
        <w:t>；</w:t>
      </w:r>
    </w:p>
    <w:p w14:paraId="21DA545A">
      <w:pPr>
        <w:pStyle w:val="19"/>
        <w:keepNext w:val="0"/>
        <w:keepLines w:val="0"/>
        <w:pageBreakBefore w:val="0"/>
        <w:widowControl w:val="0"/>
        <w:kinsoku/>
        <w:wordWrap/>
        <w:overflowPunct/>
        <w:topLinePunct w:val="0"/>
        <w:autoSpaceDE/>
        <w:autoSpaceDN/>
        <w:bidi w:val="0"/>
        <w:spacing w:line="360" w:lineRule="exact"/>
        <w:ind w:firstLine="412"/>
        <w:textAlignment w:val="auto"/>
        <w:rPr>
          <w:rFonts w:asciiTheme="minorEastAsia" w:hAnsiTheme="minorEastAsia" w:eastAsiaTheme="minorEastAsia"/>
          <w:b w:val="0"/>
          <w:sz w:val="21"/>
          <w:szCs w:val="21"/>
        </w:rPr>
      </w:pPr>
      <w:r>
        <w:rPr>
          <w:rFonts w:hint="eastAsia" w:asciiTheme="minorEastAsia" w:hAnsiTheme="minorEastAsia" w:eastAsiaTheme="minorEastAsia"/>
          <w:b w:val="0"/>
          <w:sz w:val="21"/>
          <w:szCs w:val="21"/>
        </w:rPr>
        <w:t xml:space="preserve">2. </w:t>
      </w:r>
      <w:r>
        <w:rPr>
          <w:rFonts w:asciiTheme="minorEastAsia" w:hAnsiTheme="minorEastAsia" w:eastAsiaTheme="minorEastAsia"/>
          <w:b w:val="0"/>
          <w:sz w:val="21"/>
          <w:szCs w:val="21"/>
          <w:u w:val="single"/>
        </w:rPr>
        <w:t>（标的名称）</w:t>
      </w:r>
      <w:r>
        <w:rPr>
          <w:rFonts w:asciiTheme="minorEastAsia" w:hAnsiTheme="minorEastAsia" w:eastAsiaTheme="minorEastAsia"/>
          <w:b w:val="0"/>
          <w:sz w:val="21"/>
          <w:szCs w:val="21"/>
        </w:rPr>
        <w:t>，属于</w:t>
      </w:r>
      <w:r>
        <w:rPr>
          <w:rFonts w:asciiTheme="minorEastAsia" w:hAnsiTheme="minorEastAsia" w:eastAsiaTheme="minorEastAsia"/>
          <w:b w:val="0"/>
          <w:sz w:val="21"/>
          <w:szCs w:val="21"/>
          <w:u w:val="single"/>
        </w:rPr>
        <w:t>（采购文件中明确的所属行业）</w:t>
      </w:r>
      <w:r>
        <w:rPr>
          <w:rFonts w:asciiTheme="minorEastAsia" w:hAnsiTheme="minorEastAsia" w:eastAsiaTheme="minorEastAsia"/>
          <w:b w:val="0"/>
          <w:sz w:val="21"/>
          <w:szCs w:val="21"/>
        </w:rPr>
        <w:t>；承接企业为</w:t>
      </w:r>
      <w:r>
        <w:rPr>
          <w:rFonts w:asciiTheme="minorEastAsia" w:hAnsiTheme="minorEastAsia" w:eastAsiaTheme="minorEastAsia"/>
          <w:b w:val="0"/>
          <w:sz w:val="21"/>
          <w:szCs w:val="21"/>
          <w:u w:val="single"/>
        </w:rPr>
        <w:t>（企业名称）</w:t>
      </w:r>
      <w:r>
        <w:rPr>
          <w:rFonts w:asciiTheme="minorEastAsia" w:hAnsiTheme="minorEastAsia" w:eastAsiaTheme="minorEastAsia"/>
          <w:b w:val="0"/>
          <w:sz w:val="21"/>
          <w:szCs w:val="21"/>
        </w:rPr>
        <w:t>，从业人员</w:t>
      </w:r>
      <w:r>
        <w:rPr>
          <w:rFonts w:asciiTheme="minorEastAsia" w:hAnsiTheme="minorEastAsia" w:eastAsiaTheme="minorEastAsia"/>
          <w:b w:val="0"/>
          <w:sz w:val="21"/>
          <w:szCs w:val="21"/>
          <w:u w:val="single"/>
        </w:rPr>
        <w:t xml:space="preserve"> </w:t>
      </w:r>
      <w:r>
        <w:rPr>
          <w:rFonts w:asciiTheme="minorEastAsia" w:hAnsiTheme="minorEastAsia" w:eastAsiaTheme="minorEastAsia"/>
          <w:b w:val="0"/>
          <w:sz w:val="21"/>
          <w:szCs w:val="21"/>
          <w:u w:val="single"/>
        </w:rPr>
        <w:tab/>
      </w:r>
      <w:r>
        <w:rPr>
          <w:rFonts w:asciiTheme="minorEastAsia" w:hAnsiTheme="minorEastAsia" w:eastAsiaTheme="minorEastAsia"/>
          <w:b w:val="0"/>
          <w:sz w:val="21"/>
          <w:szCs w:val="21"/>
        </w:rPr>
        <w:t>人，营业收入为</w:t>
      </w:r>
      <w:r>
        <w:rPr>
          <w:rFonts w:asciiTheme="minorEastAsia" w:hAnsiTheme="minorEastAsia" w:eastAsiaTheme="minorEastAsia"/>
          <w:b w:val="0"/>
          <w:sz w:val="21"/>
          <w:szCs w:val="21"/>
          <w:u w:val="single"/>
        </w:rPr>
        <w:t xml:space="preserve"> </w:t>
      </w:r>
      <w:r>
        <w:rPr>
          <w:rFonts w:asciiTheme="minorEastAsia" w:hAnsiTheme="minorEastAsia" w:eastAsiaTheme="minorEastAsia"/>
          <w:b w:val="0"/>
          <w:sz w:val="21"/>
          <w:szCs w:val="21"/>
          <w:u w:val="single"/>
        </w:rPr>
        <w:tab/>
      </w:r>
      <w:r>
        <w:rPr>
          <w:rFonts w:hint="eastAsia" w:asciiTheme="minorEastAsia" w:hAnsiTheme="minorEastAsia" w:eastAsiaTheme="minorEastAsia"/>
          <w:b w:val="0"/>
          <w:sz w:val="21"/>
          <w:szCs w:val="21"/>
          <w:u w:val="single"/>
        </w:rPr>
        <w:t xml:space="preserve">  </w:t>
      </w:r>
      <w:r>
        <w:rPr>
          <w:rFonts w:asciiTheme="minorEastAsia" w:hAnsiTheme="minorEastAsia" w:eastAsiaTheme="minorEastAsia"/>
          <w:b w:val="0"/>
          <w:sz w:val="21"/>
          <w:szCs w:val="21"/>
        </w:rPr>
        <w:t>万元，资产总额为</w:t>
      </w:r>
      <w:r>
        <w:rPr>
          <w:rFonts w:hint="eastAsia" w:asciiTheme="minorEastAsia" w:hAnsiTheme="minorEastAsia" w:eastAsiaTheme="minorEastAsia"/>
          <w:b w:val="0"/>
          <w:sz w:val="21"/>
          <w:szCs w:val="21"/>
          <w:u w:val="single"/>
        </w:rPr>
        <w:t xml:space="preserve">     </w:t>
      </w:r>
      <w:r>
        <w:rPr>
          <w:rFonts w:asciiTheme="minorEastAsia" w:hAnsiTheme="minorEastAsia" w:eastAsiaTheme="minorEastAsia"/>
          <w:b w:val="0"/>
          <w:sz w:val="21"/>
          <w:szCs w:val="21"/>
        </w:rPr>
        <w:t>万元，属于</w:t>
      </w:r>
      <w:r>
        <w:rPr>
          <w:rFonts w:asciiTheme="minorEastAsia" w:hAnsiTheme="minorEastAsia" w:eastAsiaTheme="minorEastAsia"/>
          <w:b w:val="0"/>
          <w:sz w:val="21"/>
          <w:szCs w:val="21"/>
          <w:u w:val="single"/>
        </w:rPr>
        <w:t>（中型企业、小型企业、微型企业）</w:t>
      </w:r>
      <w:r>
        <w:rPr>
          <w:rFonts w:asciiTheme="minorEastAsia" w:hAnsiTheme="minorEastAsia" w:eastAsiaTheme="minorEastAsia"/>
          <w:b w:val="0"/>
          <w:sz w:val="21"/>
          <w:szCs w:val="21"/>
        </w:rPr>
        <w:t>；</w:t>
      </w:r>
    </w:p>
    <w:p w14:paraId="3387383B">
      <w:pPr>
        <w:pStyle w:val="19"/>
        <w:keepNext w:val="0"/>
        <w:keepLines w:val="0"/>
        <w:pageBreakBefore w:val="0"/>
        <w:widowControl w:val="0"/>
        <w:kinsoku/>
        <w:wordWrap/>
        <w:overflowPunct/>
        <w:topLinePunct w:val="0"/>
        <w:autoSpaceDE/>
        <w:autoSpaceDN/>
        <w:bidi w:val="0"/>
        <w:spacing w:before="11" w:line="360" w:lineRule="exact"/>
        <w:ind w:firstLine="424" w:firstLineChars="202"/>
        <w:textAlignment w:val="auto"/>
        <w:rPr>
          <w:rFonts w:asciiTheme="minorEastAsia" w:hAnsiTheme="minorEastAsia" w:eastAsiaTheme="minorEastAsia"/>
          <w:b w:val="0"/>
          <w:sz w:val="21"/>
          <w:szCs w:val="21"/>
        </w:rPr>
      </w:pPr>
      <w:r>
        <w:rPr>
          <w:rFonts w:asciiTheme="minorEastAsia" w:hAnsiTheme="minorEastAsia" w:eastAsiaTheme="minorEastAsia"/>
          <w:b w:val="0"/>
          <w:sz w:val="21"/>
          <w:szCs w:val="21"/>
        </w:rPr>
        <w:t>……</w:t>
      </w:r>
    </w:p>
    <w:p w14:paraId="6B6ABECD">
      <w:pPr>
        <w:pStyle w:val="19"/>
        <w:keepNext w:val="0"/>
        <w:keepLines w:val="0"/>
        <w:pageBreakBefore w:val="0"/>
        <w:widowControl w:val="0"/>
        <w:kinsoku/>
        <w:wordWrap/>
        <w:overflowPunct/>
        <w:topLinePunct w:val="0"/>
        <w:autoSpaceDE/>
        <w:autoSpaceDN/>
        <w:bidi w:val="0"/>
        <w:spacing w:before="108" w:line="360" w:lineRule="exact"/>
        <w:ind w:firstLine="408"/>
        <w:textAlignment w:val="auto"/>
        <w:rPr>
          <w:rFonts w:asciiTheme="minorEastAsia" w:hAnsiTheme="minorEastAsia" w:eastAsiaTheme="minorEastAsia"/>
          <w:b w:val="0"/>
          <w:sz w:val="21"/>
          <w:szCs w:val="21"/>
        </w:rPr>
      </w:pPr>
      <w:r>
        <w:rPr>
          <w:rFonts w:asciiTheme="minorEastAsia" w:hAnsiTheme="minorEastAsia" w:eastAsiaTheme="minorEastAsia"/>
          <w:b w:val="0"/>
          <w:sz w:val="21"/>
          <w:szCs w:val="21"/>
        </w:rPr>
        <w:t>以上企业，不属于大企业的分支机构，不存在控股股东为大企业的情形，也不存在与大企业的负责人为同一人的情形。</w:t>
      </w:r>
    </w:p>
    <w:p w14:paraId="5487FD87">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本企业对上述声明内容的真实性负责。如有虚假，将依法承担相应责任</w:t>
      </w:r>
      <w:r>
        <w:rPr>
          <w:rFonts w:hint="eastAsia" w:asciiTheme="minorEastAsia" w:hAnsiTheme="minorEastAsia" w:eastAsiaTheme="minorEastAsia"/>
          <w:szCs w:val="21"/>
        </w:rPr>
        <w:t>。</w:t>
      </w:r>
    </w:p>
    <w:p w14:paraId="4046B137">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本企业已知悉《政府采购促进中小企业发展管理办法》（财库〔2020〕46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63931A61">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Theme="minorEastAsia" w:hAnsiTheme="minorEastAsia" w:eastAsiaTheme="minorEastAsia"/>
          <w:szCs w:val="21"/>
        </w:rPr>
      </w:pPr>
    </w:p>
    <w:p w14:paraId="37791437">
      <w:pPr>
        <w:keepNext w:val="0"/>
        <w:keepLines w:val="0"/>
        <w:pageBreakBefore w:val="0"/>
        <w:widowControl w:val="0"/>
        <w:kinsoku/>
        <w:wordWrap/>
        <w:overflowPunct/>
        <w:topLinePunct w:val="0"/>
        <w:autoSpaceDE/>
        <w:autoSpaceDN/>
        <w:bidi w:val="0"/>
        <w:spacing w:line="360" w:lineRule="exact"/>
        <w:jc w:val="center"/>
        <w:textAlignment w:val="auto"/>
        <w:rPr>
          <w:rFonts w:ascii="Times New Roman" w:hAnsi="Times New Roman"/>
          <w:szCs w:val="24"/>
        </w:rPr>
      </w:pPr>
      <w:r>
        <w:rPr>
          <w:rFonts w:hint="eastAsia" w:ascii="Times New Roman" w:hAnsi="Times New Roman"/>
          <w:szCs w:val="21"/>
        </w:rPr>
        <w:t xml:space="preserve">                           企业名称：</w:t>
      </w:r>
    </w:p>
    <w:p w14:paraId="2B92072C">
      <w:pPr>
        <w:keepNext w:val="0"/>
        <w:keepLines w:val="0"/>
        <w:pageBreakBefore w:val="0"/>
        <w:widowControl w:val="0"/>
        <w:kinsoku/>
        <w:wordWrap/>
        <w:overflowPunct/>
        <w:topLinePunct w:val="0"/>
        <w:autoSpaceDE/>
        <w:autoSpaceDN/>
        <w:bidi w:val="0"/>
        <w:spacing w:line="360" w:lineRule="exact"/>
        <w:textAlignment w:val="auto"/>
        <w:rPr>
          <w:rFonts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EEB7B1E">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宋体" w:hAnsi="宋体"/>
          <w:szCs w:val="21"/>
        </w:rPr>
      </w:pPr>
      <w:r>
        <w:rPr>
          <w:rFonts w:hint="eastAsia" w:ascii="宋体" w:hAnsi="宋体"/>
          <w:szCs w:val="21"/>
        </w:rPr>
        <w:t>备注：</w:t>
      </w:r>
    </w:p>
    <w:p w14:paraId="3D32EF75">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宋体" w:hAnsi="宋体"/>
          <w:szCs w:val="21"/>
        </w:rPr>
      </w:pPr>
      <w:r>
        <w:rPr>
          <w:rFonts w:hint="eastAsia" w:ascii="宋体" w:hAnsi="宋体"/>
          <w:szCs w:val="21"/>
        </w:rPr>
        <w:t>1、填写前请认真阅读《工业和信息化部、国家统计局、国家发展和改革委员会、财政部关于印发中小企业划型标准规定的通知》</w:t>
      </w:r>
      <w:r>
        <w:rPr>
          <w:rFonts w:ascii="宋体" w:hAnsi="宋体"/>
          <w:szCs w:val="21"/>
        </w:rPr>
        <w:t>(</w:t>
      </w:r>
      <w:r>
        <w:rPr>
          <w:rFonts w:hint="eastAsia" w:ascii="宋体" w:hAnsi="宋体"/>
          <w:szCs w:val="21"/>
        </w:rPr>
        <w:t>工信部联企业〔</w:t>
      </w:r>
      <w:r>
        <w:rPr>
          <w:rFonts w:ascii="宋体" w:hAnsi="宋体"/>
          <w:szCs w:val="21"/>
        </w:rPr>
        <w:t>2011</w:t>
      </w:r>
      <w:r>
        <w:rPr>
          <w:rFonts w:hint="eastAsia" w:ascii="宋体" w:hAnsi="宋体"/>
          <w:szCs w:val="21"/>
        </w:rPr>
        <w:t>〕</w:t>
      </w:r>
      <w:r>
        <w:rPr>
          <w:rFonts w:ascii="宋体" w:hAnsi="宋体"/>
          <w:szCs w:val="21"/>
        </w:rPr>
        <w:t>300</w:t>
      </w:r>
      <w:r>
        <w:rPr>
          <w:rFonts w:hint="eastAsia" w:ascii="宋体" w:hAnsi="宋体"/>
          <w:szCs w:val="21"/>
        </w:rPr>
        <w:t>号</w:t>
      </w:r>
      <w:r>
        <w:rPr>
          <w:rFonts w:ascii="宋体" w:hAnsi="宋体"/>
          <w:szCs w:val="21"/>
        </w:rPr>
        <w:t>)</w:t>
      </w:r>
      <w:r>
        <w:rPr>
          <w:rFonts w:hint="eastAsia" w:ascii="宋体" w:hAnsi="宋体"/>
          <w:szCs w:val="21"/>
        </w:rPr>
        <w:t>和《财政部 工业和信息化部关于印发《政府采购促进中小企业发展管理办法》的通知》</w:t>
      </w:r>
      <w:r>
        <w:rPr>
          <w:rFonts w:ascii="宋体" w:hAnsi="宋体"/>
          <w:szCs w:val="21"/>
        </w:rPr>
        <w:t>(</w:t>
      </w:r>
      <w:r>
        <w:rPr>
          <w:rFonts w:hint="eastAsia" w:ascii="宋体" w:hAnsi="宋体"/>
          <w:szCs w:val="21"/>
        </w:rPr>
        <w:t>财库〔2020〕46号</w:t>
      </w:r>
      <w:r>
        <w:rPr>
          <w:rFonts w:ascii="宋体" w:hAnsi="宋体"/>
          <w:szCs w:val="21"/>
        </w:rPr>
        <w:t>)</w:t>
      </w:r>
      <w:r>
        <w:rPr>
          <w:rFonts w:hint="eastAsia" w:ascii="宋体" w:hAnsi="宋体"/>
          <w:szCs w:val="21"/>
        </w:rPr>
        <w:t>相关规定。</w:t>
      </w:r>
    </w:p>
    <w:p w14:paraId="1AD2AB67">
      <w:pPr>
        <w:keepNext w:val="0"/>
        <w:keepLines w:val="0"/>
        <w:pageBreakBefore w:val="0"/>
        <w:widowControl w:val="0"/>
        <w:kinsoku/>
        <w:wordWrap/>
        <w:overflowPunct/>
        <w:topLinePunct w:val="0"/>
        <w:autoSpaceDE/>
        <w:autoSpaceDN/>
        <w:bidi w:val="0"/>
        <w:spacing w:line="360" w:lineRule="exact"/>
        <w:ind w:firstLine="424" w:firstLineChars="202"/>
        <w:textAlignment w:val="auto"/>
        <w:rPr>
          <w:rFonts w:ascii="宋体" w:hAnsi="宋体"/>
          <w:szCs w:val="21"/>
        </w:rPr>
      </w:pPr>
      <w:r>
        <w:rPr>
          <w:rFonts w:hint="eastAsia" w:ascii="宋体" w:hAnsi="宋体"/>
          <w:szCs w:val="21"/>
        </w:rPr>
        <w:t>2、从业人员、营业收入、资产总额填报上一年度数据，无上一年度数据的新成立企业可不填报。</w:t>
      </w:r>
    </w:p>
    <w:p w14:paraId="1C65DE6A">
      <w:pPr>
        <w:keepNext w:val="0"/>
        <w:keepLines w:val="0"/>
        <w:pageBreakBefore w:val="0"/>
        <w:widowControl w:val="0"/>
        <w:kinsoku/>
        <w:wordWrap/>
        <w:overflowPunct/>
        <w:topLinePunct w:val="0"/>
        <w:autoSpaceDE/>
        <w:autoSpaceDN/>
        <w:bidi w:val="0"/>
        <w:spacing w:line="360" w:lineRule="exact"/>
        <w:ind w:firstLine="424" w:firstLineChars="202"/>
        <w:textAlignment w:val="auto"/>
        <w:rPr>
          <w:rFonts w:asciiTheme="minorEastAsia" w:hAnsiTheme="minorEastAsia" w:eastAsiaTheme="minorEastAsia" w:cstheme="minorBidi"/>
        </w:rPr>
      </w:pPr>
      <w:r>
        <w:rPr>
          <w:rFonts w:hint="eastAsia" w:asciiTheme="minorEastAsia" w:hAnsiTheme="minorEastAsia" w:eastAsiaTheme="minorEastAsia" w:cstheme="minorBidi"/>
        </w:rPr>
        <w:t>3、中小企业参加政府采购活动，应当按照国务院批准的《中小企业划型标准规定》（工信部联企业〔2011〕300 号）、《金融业企业划型标准规定》（银发〔2015〕309 号）和《财政部工业和信息化部关于印发〈政府采购促进中小企业发展管理办法〉的通知》（财库〔2020〕46 号）的规定，出具《中小企业声明函》，</w:t>
      </w:r>
      <w:r>
        <w:rPr>
          <w:rFonts w:hint="eastAsia" w:asciiTheme="minorEastAsia" w:hAnsiTheme="minorEastAsia" w:eastAsiaTheme="minorEastAsia" w:cstheme="minorBidi"/>
          <w:b/>
        </w:rPr>
        <w:t>《中小企业声明函》中相关企业所属行业应当与采购标的所属行业相一致</w:t>
      </w:r>
      <w:r>
        <w:rPr>
          <w:rFonts w:hint="eastAsia" w:asciiTheme="minorEastAsia" w:hAnsiTheme="minorEastAsia" w:eastAsiaTheme="minorEastAsia" w:cstheme="minorBidi"/>
        </w:rPr>
        <w:t>。</w:t>
      </w:r>
    </w:p>
    <w:p w14:paraId="3B1C966A">
      <w:pPr>
        <w:keepNext w:val="0"/>
        <w:keepLines w:val="0"/>
        <w:pageBreakBefore w:val="0"/>
        <w:widowControl w:val="0"/>
        <w:kinsoku/>
        <w:wordWrap/>
        <w:overflowPunct/>
        <w:topLinePunct w:val="0"/>
        <w:autoSpaceDE/>
        <w:autoSpaceDN/>
        <w:bidi w:val="0"/>
        <w:spacing w:line="360" w:lineRule="exact"/>
        <w:ind w:firstLine="424" w:firstLineChars="202"/>
        <w:textAlignment w:val="auto"/>
        <w:rPr>
          <w:rFonts w:asciiTheme="minorHAnsi" w:hAnsiTheme="minorHAnsi" w:eastAsiaTheme="minorEastAsia" w:cstheme="minorBidi"/>
        </w:rPr>
      </w:pPr>
      <w:r>
        <w:rPr>
          <w:rFonts w:hint="eastAsia" w:asciiTheme="minorHAnsi" w:hAnsiTheme="minorHAnsi" w:eastAsiaTheme="minorEastAsia" w:cstheme="minorBidi"/>
        </w:rPr>
        <w:t>4、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4FC3FD7E">
      <w:pPr>
        <w:keepNext w:val="0"/>
        <w:keepLines w:val="0"/>
        <w:pageBreakBefore w:val="0"/>
        <w:widowControl w:val="0"/>
        <w:kinsoku/>
        <w:wordWrap/>
        <w:overflowPunct/>
        <w:topLinePunct w:val="0"/>
        <w:autoSpaceDE/>
        <w:autoSpaceDN/>
        <w:bidi w:val="0"/>
        <w:spacing w:line="360" w:lineRule="exact"/>
        <w:ind w:firstLine="420" w:firstLineChars="200"/>
        <w:textAlignment w:val="auto"/>
        <w:rPr>
          <w:rFonts w:ascii="宋体" w:hAnsi="宋体"/>
          <w:szCs w:val="21"/>
        </w:rPr>
      </w:pPr>
    </w:p>
    <w:p w14:paraId="4FB62D54">
      <w:pPr>
        <w:keepNext w:val="0"/>
        <w:keepLines w:val="0"/>
        <w:pageBreakBefore w:val="0"/>
        <w:widowControl w:val="0"/>
        <w:kinsoku/>
        <w:wordWrap/>
        <w:overflowPunct/>
        <w:topLinePunct w:val="0"/>
        <w:autoSpaceDE/>
        <w:autoSpaceDN/>
        <w:bidi w:val="0"/>
        <w:spacing w:after="60" w:line="360" w:lineRule="exact"/>
        <w:jc w:val="center"/>
        <w:textAlignment w:val="auto"/>
        <w:outlineLvl w:val="3"/>
        <w:rPr>
          <w:b/>
          <w:sz w:val="24"/>
        </w:rPr>
      </w:pPr>
      <w:r>
        <w:rPr>
          <w:rFonts w:hint="eastAsia"/>
          <w:b/>
          <w:sz w:val="24"/>
        </w:rPr>
        <w:t>2、监狱企业声明函</w:t>
      </w:r>
    </w:p>
    <w:p w14:paraId="68376E11">
      <w:pPr>
        <w:keepNext w:val="0"/>
        <w:keepLines w:val="0"/>
        <w:pageBreakBefore w:val="0"/>
        <w:widowControl w:val="0"/>
        <w:kinsoku/>
        <w:wordWrap/>
        <w:overflowPunct/>
        <w:topLinePunct w:val="0"/>
        <w:autoSpaceDE/>
        <w:autoSpaceDN/>
        <w:bidi w:val="0"/>
        <w:spacing w:after="60" w:line="360" w:lineRule="exact"/>
        <w:ind w:firstLine="420" w:firstLineChars="200"/>
        <w:textAlignment w:val="auto"/>
        <w:rPr>
          <w:rFonts w:ascii="宋体" w:hAnsi="宋体"/>
          <w:szCs w:val="21"/>
        </w:rPr>
      </w:pPr>
      <w:r>
        <w:rPr>
          <w:rFonts w:hint="eastAsia" w:ascii="宋体" w:hAnsi="宋体"/>
          <w:szCs w:val="21"/>
        </w:rPr>
        <w:t>本单位郑重声明，根据《关于政府采购支持监狱企业发展有关问题的通知》（财库〔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号）的规定，本单位为符合条件的监狱企业。</w:t>
      </w:r>
    </w:p>
    <w:p w14:paraId="40C21325">
      <w:pPr>
        <w:keepNext w:val="0"/>
        <w:keepLines w:val="0"/>
        <w:pageBreakBefore w:val="0"/>
        <w:widowControl w:val="0"/>
        <w:kinsoku/>
        <w:wordWrap/>
        <w:overflowPunct/>
        <w:topLinePunct w:val="0"/>
        <w:autoSpaceDE/>
        <w:autoSpaceDN/>
        <w:bidi w:val="0"/>
        <w:spacing w:after="60" w:line="360" w:lineRule="exact"/>
        <w:ind w:firstLine="420" w:firstLineChars="200"/>
        <w:textAlignment w:val="auto"/>
        <w:rPr>
          <w:rFonts w:ascii="宋体" w:hAnsi="宋体"/>
          <w:szCs w:val="21"/>
        </w:rPr>
      </w:pPr>
      <w:r>
        <w:rPr>
          <w:rFonts w:hint="eastAsia" w:ascii="宋体" w:hAnsi="宋体"/>
          <w:szCs w:val="21"/>
        </w:rPr>
        <w:t>本单位对上述声明的真实性负责。如有虚假，将依法承担相应责任。</w:t>
      </w:r>
    </w:p>
    <w:p w14:paraId="2486E253">
      <w:pPr>
        <w:keepNext w:val="0"/>
        <w:keepLines w:val="0"/>
        <w:pageBreakBefore w:val="0"/>
        <w:widowControl w:val="0"/>
        <w:kinsoku/>
        <w:wordWrap/>
        <w:overflowPunct/>
        <w:topLinePunct w:val="0"/>
        <w:autoSpaceDE/>
        <w:autoSpaceDN/>
        <w:bidi w:val="0"/>
        <w:spacing w:line="360" w:lineRule="exact"/>
        <w:jc w:val="center"/>
        <w:textAlignment w:val="auto"/>
      </w:pPr>
      <w:r>
        <w:rPr>
          <w:rFonts w:hint="eastAsia"/>
          <w:szCs w:val="21"/>
        </w:rPr>
        <w:t xml:space="preserve">                             单位名称：</w:t>
      </w:r>
    </w:p>
    <w:p w14:paraId="54CB64F2">
      <w:pPr>
        <w:keepNext w:val="0"/>
        <w:keepLines w:val="0"/>
        <w:pageBreakBefore w:val="0"/>
        <w:widowControl w:val="0"/>
        <w:kinsoku/>
        <w:wordWrap/>
        <w:overflowPunct/>
        <w:topLinePunct w:val="0"/>
        <w:autoSpaceDE/>
        <w:autoSpaceDN/>
        <w:bidi w:val="0"/>
        <w:spacing w:line="360" w:lineRule="exact"/>
        <w:textAlignment w:val="auto"/>
        <w:rPr>
          <w:rFonts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506F822">
      <w:pPr>
        <w:keepNext w:val="0"/>
        <w:keepLines w:val="0"/>
        <w:pageBreakBefore w:val="0"/>
        <w:widowControl w:val="0"/>
        <w:kinsoku/>
        <w:wordWrap/>
        <w:overflowPunct/>
        <w:topLinePunct w:val="0"/>
        <w:autoSpaceDE/>
        <w:autoSpaceDN/>
        <w:bidi w:val="0"/>
        <w:spacing w:line="360" w:lineRule="exact"/>
        <w:ind w:firstLine="645"/>
        <w:textAlignment w:val="auto"/>
        <w:rPr>
          <w:rFonts w:ascii="宋体"/>
          <w:b/>
          <w:szCs w:val="21"/>
        </w:rPr>
      </w:pPr>
      <w:r>
        <w:rPr>
          <w:rFonts w:hint="eastAsia" w:ascii="宋体" w:hAnsi="宋体"/>
          <w:szCs w:val="21"/>
        </w:rPr>
        <w:t xml:space="preserve">                                    </w:t>
      </w:r>
    </w:p>
    <w:p w14:paraId="4ABE861A">
      <w:pPr>
        <w:keepNext w:val="0"/>
        <w:keepLines w:val="0"/>
        <w:pageBreakBefore w:val="0"/>
        <w:widowControl w:val="0"/>
        <w:kinsoku/>
        <w:wordWrap/>
        <w:overflowPunct/>
        <w:topLinePunct w:val="0"/>
        <w:autoSpaceDE/>
        <w:autoSpaceDN/>
        <w:bidi w:val="0"/>
        <w:spacing w:after="60" w:line="360" w:lineRule="exact"/>
        <w:ind w:firstLine="422" w:firstLineChars="200"/>
        <w:textAlignment w:val="auto"/>
        <w:rPr>
          <w:rFonts w:ascii="宋体" w:hAnsi="宋体"/>
          <w:b/>
          <w:szCs w:val="21"/>
        </w:rPr>
      </w:pPr>
      <w:r>
        <w:rPr>
          <w:rFonts w:hint="eastAsia" w:ascii="宋体" w:hAnsi="宋体"/>
          <w:b/>
          <w:szCs w:val="21"/>
        </w:rPr>
        <w:t>附：省级以上监狱管理局、戒毒管理局（含新疆生产建设兵团）出具的监狱企业证明文件。</w:t>
      </w:r>
    </w:p>
    <w:p w14:paraId="48AFEE3E">
      <w:pPr>
        <w:keepNext w:val="0"/>
        <w:keepLines w:val="0"/>
        <w:pageBreakBefore w:val="0"/>
        <w:widowControl w:val="0"/>
        <w:kinsoku/>
        <w:wordWrap/>
        <w:overflowPunct/>
        <w:topLinePunct w:val="0"/>
        <w:autoSpaceDE/>
        <w:autoSpaceDN/>
        <w:bidi w:val="0"/>
        <w:ind w:left="723" w:hanging="723" w:hangingChars="300"/>
        <w:textAlignment w:val="auto"/>
        <w:rPr>
          <w:b/>
          <w:sz w:val="24"/>
        </w:rPr>
      </w:pPr>
    </w:p>
    <w:p w14:paraId="10640A02">
      <w:pPr>
        <w:keepNext w:val="0"/>
        <w:keepLines w:val="0"/>
        <w:pageBreakBefore w:val="0"/>
        <w:widowControl w:val="0"/>
        <w:kinsoku/>
        <w:wordWrap/>
        <w:overflowPunct/>
        <w:topLinePunct w:val="0"/>
        <w:autoSpaceDE/>
        <w:autoSpaceDN/>
        <w:bidi w:val="0"/>
        <w:spacing w:line="360" w:lineRule="exact"/>
        <w:ind w:firstLine="424" w:firstLineChars="202"/>
        <w:textAlignment w:val="auto"/>
        <w:rPr>
          <w:rFonts w:ascii="宋体" w:hAnsi="宋体"/>
          <w:szCs w:val="21"/>
        </w:rPr>
      </w:pPr>
      <w:r>
        <w:rPr>
          <w:rFonts w:hint="eastAsia" w:ascii="宋体" w:hAnsi="宋体"/>
          <w:szCs w:val="21"/>
        </w:rPr>
        <w:t>备注：填写前请认真阅读《财政部 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5F9F7964">
      <w:pPr>
        <w:keepNext w:val="0"/>
        <w:keepLines w:val="0"/>
        <w:pageBreakBefore w:val="0"/>
        <w:widowControl w:val="0"/>
        <w:kinsoku/>
        <w:wordWrap/>
        <w:overflowPunct/>
        <w:topLinePunct w:val="0"/>
        <w:autoSpaceDE/>
        <w:autoSpaceDN/>
        <w:bidi w:val="0"/>
        <w:spacing w:after="60" w:line="360" w:lineRule="exact"/>
        <w:ind w:firstLine="420" w:firstLineChars="200"/>
        <w:textAlignment w:val="auto"/>
        <w:rPr>
          <w:rFonts w:ascii="宋体" w:hAnsi="宋体"/>
          <w:szCs w:val="21"/>
        </w:rPr>
      </w:pPr>
      <w:r>
        <w:rPr>
          <w:rFonts w:hint="eastAsia" w:ascii="宋体" w:hAnsi="宋体"/>
          <w:szCs w:val="21"/>
        </w:rPr>
        <w:t xml:space="preserve">                                     </w:t>
      </w:r>
    </w:p>
    <w:p w14:paraId="476E4F8A">
      <w:pPr>
        <w:keepNext w:val="0"/>
        <w:keepLines w:val="0"/>
        <w:pageBreakBefore w:val="0"/>
        <w:widowControl w:val="0"/>
        <w:kinsoku/>
        <w:wordWrap/>
        <w:overflowPunct/>
        <w:topLinePunct w:val="0"/>
        <w:autoSpaceDE/>
        <w:autoSpaceDN/>
        <w:bidi w:val="0"/>
        <w:spacing w:after="60" w:line="360" w:lineRule="exact"/>
        <w:jc w:val="center"/>
        <w:textAlignment w:val="auto"/>
        <w:outlineLvl w:val="3"/>
        <w:rPr>
          <w:b/>
          <w:bCs/>
        </w:rPr>
      </w:pPr>
      <w:r>
        <w:rPr>
          <w:rFonts w:hint="eastAsia"/>
          <w:b/>
          <w:sz w:val="24"/>
        </w:rPr>
        <w:t>3、残疾人福利性单位声明函</w:t>
      </w:r>
    </w:p>
    <w:p w14:paraId="5673020B">
      <w:pPr>
        <w:keepNext w:val="0"/>
        <w:keepLines w:val="0"/>
        <w:pageBreakBefore w:val="0"/>
        <w:widowControl w:val="0"/>
        <w:kinsoku/>
        <w:wordWrap/>
        <w:overflowPunct/>
        <w:topLinePunct w:val="0"/>
        <w:autoSpaceDE/>
        <w:autoSpaceDN/>
        <w:bidi w:val="0"/>
        <w:spacing w:line="360" w:lineRule="exact"/>
        <w:ind w:firstLine="420" w:firstLineChars="200"/>
        <w:jc w:val="left"/>
        <w:textAlignment w:val="auto"/>
        <w:rPr>
          <w:rFonts w:ascii="宋体" w:hAnsi="宋体"/>
          <w:szCs w:val="21"/>
        </w:rPr>
      </w:pPr>
      <w:r>
        <w:rPr>
          <w:rFonts w:hint="eastAsia" w:ascii="宋体" w:hAnsi="宋体"/>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szCs w:val="21"/>
          <w:u w:val="single"/>
        </w:rPr>
        <w:t xml:space="preserve">    </w:t>
      </w:r>
      <w:r>
        <w:rPr>
          <w:rFonts w:hint="eastAsia" w:ascii="宋体" w:hAnsi="宋体"/>
          <w:szCs w:val="21"/>
        </w:rPr>
        <w:t>单位的</w:t>
      </w:r>
      <w:r>
        <w:rPr>
          <w:rFonts w:hint="eastAsia" w:ascii="宋体" w:hAnsi="宋体"/>
          <w:szCs w:val="21"/>
          <w:u w:val="single"/>
        </w:rPr>
        <w:t xml:space="preserve">            </w:t>
      </w:r>
      <w:r>
        <w:rPr>
          <w:rFonts w:hint="eastAsia" w:ascii="宋体" w:hAnsi="宋体"/>
          <w:szCs w:val="21"/>
        </w:rPr>
        <w:t>项目采购活动，由本单位提供服务。</w:t>
      </w:r>
    </w:p>
    <w:p w14:paraId="7B306151">
      <w:pPr>
        <w:keepNext w:val="0"/>
        <w:keepLines w:val="0"/>
        <w:pageBreakBefore w:val="0"/>
        <w:widowControl w:val="0"/>
        <w:kinsoku/>
        <w:wordWrap/>
        <w:overflowPunct/>
        <w:topLinePunct w:val="0"/>
        <w:autoSpaceDE/>
        <w:autoSpaceDN/>
        <w:bidi w:val="0"/>
        <w:spacing w:after="60" w:line="360" w:lineRule="exact"/>
        <w:ind w:firstLine="420" w:firstLineChars="200"/>
        <w:textAlignment w:val="auto"/>
        <w:rPr>
          <w:rFonts w:ascii="宋体" w:hAnsi="宋体"/>
          <w:szCs w:val="21"/>
        </w:rPr>
      </w:pPr>
      <w:r>
        <w:rPr>
          <w:rFonts w:hint="eastAsia" w:ascii="宋体" w:hAnsi="宋体"/>
          <w:szCs w:val="21"/>
        </w:rPr>
        <w:t>本单位对上述声明的真实性负责。如有虚假，将依法承担相应责任。</w:t>
      </w:r>
    </w:p>
    <w:p w14:paraId="342FDC83">
      <w:pPr>
        <w:keepNext w:val="0"/>
        <w:keepLines w:val="0"/>
        <w:pageBreakBefore w:val="0"/>
        <w:widowControl w:val="0"/>
        <w:kinsoku/>
        <w:wordWrap/>
        <w:overflowPunct/>
        <w:topLinePunct w:val="0"/>
        <w:autoSpaceDE/>
        <w:autoSpaceDN/>
        <w:bidi w:val="0"/>
        <w:spacing w:after="60" w:line="360" w:lineRule="exact"/>
        <w:ind w:firstLine="420" w:firstLineChars="200"/>
        <w:textAlignment w:val="auto"/>
        <w:rPr>
          <w:rFonts w:ascii="宋体" w:hAnsi="宋体"/>
          <w:szCs w:val="21"/>
        </w:rPr>
      </w:pPr>
      <w:r>
        <w:rPr>
          <w:rFonts w:hint="eastAsia" w:ascii="宋体" w:hAnsi="宋体"/>
          <w:szCs w:val="21"/>
        </w:rPr>
        <w:t>本单位知悉《关于促进残疾人就业政府采购政策的通知》（财库〔2017〕141 号）的规定，承诺提供的声明函内容是真实的，如提供声明函内容不实，则依法追究相关法律责任。</w:t>
      </w:r>
    </w:p>
    <w:p w14:paraId="63AF71A7">
      <w:pPr>
        <w:keepNext w:val="0"/>
        <w:keepLines w:val="0"/>
        <w:pageBreakBefore w:val="0"/>
        <w:widowControl w:val="0"/>
        <w:kinsoku/>
        <w:wordWrap/>
        <w:overflowPunct/>
        <w:topLinePunct w:val="0"/>
        <w:autoSpaceDE/>
        <w:autoSpaceDN/>
        <w:bidi w:val="0"/>
        <w:spacing w:line="360" w:lineRule="exact"/>
        <w:jc w:val="center"/>
        <w:textAlignment w:val="auto"/>
      </w:pPr>
      <w:r>
        <w:rPr>
          <w:rFonts w:hint="eastAsia"/>
          <w:szCs w:val="21"/>
        </w:rPr>
        <w:t xml:space="preserve">                             单位名称：</w:t>
      </w:r>
    </w:p>
    <w:p w14:paraId="6DE186B5">
      <w:pPr>
        <w:keepNext w:val="0"/>
        <w:keepLines w:val="0"/>
        <w:pageBreakBefore w:val="0"/>
        <w:widowControl w:val="0"/>
        <w:kinsoku/>
        <w:wordWrap/>
        <w:overflowPunct/>
        <w:topLinePunct w:val="0"/>
        <w:autoSpaceDE/>
        <w:autoSpaceDN/>
        <w:bidi w:val="0"/>
        <w:spacing w:line="360" w:lineRule="exact"/>
        <w:textAlignment w:val="auto"/>
        <w:rPr>
          <w:rFonts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33014D35">
      <w:pPr>
        <w:keepNext w:val="0"/>
        <w:keepLines w:val="0"/>
        <w:pageBreakBefore w:val="0"/>
        <w:widowControl w:val="0"/>
        <w:kinsoku/>
        <w:wordWrap/>
        <w:overflowPunct/>
        <w:topLinePunct w:val="0"/>
        <w:autoSpaceDE/>
        <w:autoSpaceDN/>
        <w:bidi w:val="0"/>
        <w:spacing w:line="360" w:lineRule="exact"/>
        <w:ind w:firstLine="424" w:firstLineChars="202"/>
        <w:textAlignment w:val="auto"/>
        <w:rPr>
          <w:rFonts w:ascii="宋体" w:hAnsi="宋体"/>
          <w:szCs w:val="21"/>
        </w:rPr>
      </w:pPr>
      <w:r>
        <w:rPr>
          <w:rFonts w:hint="eastAsia" w:ascii="宋体" w:hAnsi="宋体"/>
          <w:szCs w:val="21"/>
        </w:rPr>
        <w:t>备注：填写前请认真阅读《财政部 民政部 中国残疾人联合会关于促进残疾人就业政府采购政策的通知》</w:t>
      </w:r>
      <w:r>
        <w:rPr>
          <w:rFonts w:ascii="宋体" w:hAnsi="宋体"/>
          <w:szCs w:val="21"/>
        </w:rPr>
        <w:t>(</w:t>
      </w:r>
      <w:r>
        <w:rPr>
          <w:rFonts w:hint="eastAsia" w:ascii="宋体" w:hAnsi="宋体"/>
          <w:szCs w:val="21"/>
        </w:rPr>
        <w:t>财库〔2017〕141号</w:t>
      </w:r>
      <w:r>
        <w:rPr>
          <w:rFonts w:ascii="宋体" w:hAnsi="宋体"/>
          <w:szCs w:val="21"/>
        </w:rPr>
        <w:t>)</w:t>
      </w:r>
      <w:r>
        <w:rPr>
          <w:rFonts w:hint="eastAsia" w:ascii="宋体" w:hAnsi="宋体"/>
          <w:szCs w:val="21"/>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w:t>
      </w:r>
    </w:p>
    <w:p w14:paraId="7738219A">
      <w:pPr>
        <w:keepNext w:val="0"/>
        <w:keepLines w:val="0"/>
        <w:pageBreakBefore w:val="0"/>
        <w:widowControl w:val="0"/>
        <w:tabs>
          <w:tab w:val="left" w:pos="0"/>
        </w:tabs>
        <w:kinsoku/>
        <w:wordWrap/>
        <w:overflowPunct/>
        <w:topLinePunct w:val="0"/>
        <w:autoSpaceDE/>
        <w:autoSpaceDN/>
        <w:bidi w:val="0"/>
        <w:spacing w:before="280" w:after="290" w:line="376" w:lineRule="auto"/>
        <w:jc w:val="center"/>
        <w:textAlignment w:val="auto"/>
        <w:outlineLvl w:val="3"/>
        <w:rPr>
          <w:rFonts w:ascii="宋体" w:hAnsi="宋体"/>
          <w:b/>
          <w:bCs/>
          <w:sz w:val="28"/>
          <w:szCs w:val="28"/>
        </w:rPr>
      </w:pPr>
      <w:r>
        <w:rPr>
          <w:rFonts w:hint="eastAsia" w:ascii="宋体" w:hAnsi="宋体"/>
          <w:b/>
          <w:bCs/>
          <w:sz w:val="28"/>
          <w:szCs w:val="28"/>
        </w:rPr>
        <w:t>列入政府优先采购清单的投标产品一览表</w:t>
      </w:r>
    </w:p>
    <w:tbl>
      <w:tblPr>
        <w:tblStyle w:val="42"/>
        <w:tblW w:w="10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213"/>
        <w:gridCol w:w="1840"/>
        <w:gridCol w:w="818"/>
        <w:gridCol w:w="1241"/>
        <w:gridCol w:w="2292"/>
        <w:gridCol w:w="1503"/>
        <w:gridCol w:w="720"/>
      </w:tblGrid>
      <w:tr w14:paraId="4AC0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40" w:type="dxa"/>
            <w:vMerge w:val="restart"/>
            <w:vAlign w:val="center"/>
          </w:tcPr>
          <w:p w14:paraId="22B3FF23">
            <w:pPr>
              <w:keepNext w:val="0"/>
              <w:keepLines w:val="0"/>
              <w:pageBreakBefore w:val="0"/>
              <w:widowControl w:val="0"/>
              <w:kinsoku/>
              <w:wordWrap/>
              <w:overflowPunct/>
              <w:topLinePunct w:val="0"/>
              <w:autoSpaceDE/>
              <w:autoSpaceDN/>
              <w:bidi w:val="0"/>
              <w:jc w:val="center"/>
              <w:textAlignment w:val="auto"/>
              <w:rPr>
                <w:rFonts w:ascii="Times New Roman" w:hAnsi="Times New Roman"/>
                <w:b/>
                <w:szCs w:val="21"/>
              </w:rPr>
            </w:pPr>
            <w:r>
              <w:rPr>
                <w:rFonts w:hint="eastAsia" w:ascii="Times New Roman" w:hAnsi="Times New Roman"/>
                <w:b/>
                <w:szCs w:val="21"/>
              </w:rPr>
              <w:t>序号</w:t>
            </w:r>
          </w:p>
        </w:tc>
        <w:tc>
          <w:tcPr>
            <w:tcW w:w="1213" w:type="dxa"/>
            <w:vMerge w:val="restart"/>
            <w:vAlign w:val="center"/>
          </w:tcPr>
          <w:p w14:paraId="4B24B7FB">
            <w:pPr>
              <w:keepNext w:val="0"/>
              <w:keepLines w:val="0"/>
              <w:pageBreakBefore w:val="0"/>
              <w:widowControl w:val="0"/>
              <w:kinsoku/>
              <w:wordWrap/>
              <w:overflowPunct/>
              <w:topLinePunct w:val="0"/>
              <w:autoSpaceDE/>
              <w:autoSpaceDN/>
              <w:bidi w:val="0"/>
              <w:jc w:val="center"/>
              <w:textAlignment w:val="auto"/>
              <w:rPr>
                <w:rFonts w:ascii="Times New Roman" w:hAnsi="Times New Roman"/>
                <w:b/>
                <w:szCs w:val="21"/>
              </w:rPr>
            </w:pPr>
            <w:r>
              <w:rPr>
                <w:rFonts w:hint="eastAsia" w:ascii="Times New Roman" w:hAnsi="Times New Roman"/>
                <w:b/>
                <w:szCs w:val="21"/>
              </w:rPr>
              <w:t>投标产品名称</w:t>
            </w:r>
          </w:p>
        </w:tc>
        <w:tc>
          <w:tcPr>
            <w:tcW w:w="1840" w:type="dxa"/>
            <w:vMerge w:val="restart"/>
            <w:vAlign w:val="center"/>
          </w:tcPr>
          <w:p w14:paraId="2D2BC2DC">
            <w:pPr>
              <w:keepNext w:val="0"/>
              <w:keepLines w:val="0"/>
              <w:pageBreakBefore w:val="0"/>
              <w:widowControl w:val="0"/>
              <w:kinsoku/>
              <w:wordWrap/>
              <w:overflowPunct/>
              <w:topLinePunct w:val="0"/>
              <w:autoSpaceDE/>
              <w:autoSpaceDN/>
              <w:bidi w:val="0"/>
              <w:jc w:val="center"/>
              <w:textAlignment w:val="auto"/>
              <w:rPr>
                <w:rFonts w:ascii="Times New Roman" w:hAnsi="Times New Roman"/>
                <w:b/>
                <w:szCs w:val="21"/>
              </w:rPr>
            </w:pPr>
            <w:r>
              <w:rPr>
                <w:rFonts w:hint="eastAsia" w:ascii="Times New Roman" w:hAnsi="Times New Roman"/>
                <w:b/>
                <w:szCs w:val="21"/>
              </w:rPr>
              <w:t>规格及型号</w:t>
            </w:r>
          </w:p>
        </w:tc>
        <w:tc>
          <w:tcPr>
            <w:tcW w:w="4351" w:type="dxa"/>
            <w:gridSpan w:val="3"/>
            <w:vAlign w:val="center"/>
          </w:tcPr>
          <w:p w14:paraId="68C3258C">
            <w:pPr>
              <w:keepNext w:val="0"/>
              <w:keepLines w:val="0"/>
              <w:pageBreakBefore w:val="0"/>
              <w:widowControl w:val="0"/>
              <w:kinsoku/>
              <w:wordWrap/>
              <w:overflowPunct/>
              <w:topLinePunct w:val="0"/>
              <w:autoSpaceDE/>
              <w:autoSpaceDN/>
              <w:bidi w:val="0"/>
              <w:jc w:val="center"/>
              <w:textAlignment w:val="auto"/>
              <w:rPr>
                <w:rFonts w:ascii="Times New Roman" w:hAnsi="Times New Roman"/>
                <w:b/>
                <w:szCs w:val="21"/>
              </w:rPr>
            </w:pPr>
            <w:r>
              <w:rPr>
                <w:rFonts w:hint="eastAsia" w:ascii="Times New Roman" w:hAnsi="Times New Roman"/>
                <w:b/>
                <w:szCs w:val="21"/>
              </w:rPr>
              <w:t>投标产品报价</w:t>
            </w:r>
          </w:p>
        </w:tc>
        <w:tc>
          <w:tcPr>
            <w:tcW w:w="1503" w:type="dxa"/>
            <w:vMerge w:val="restart"/>
            <w:vAlign w:val="center"/>
          </w:tcPr>
          <w:p w14:paraId="0423BB7E">
            <w:pPr>
              <w:keepNext w:val="0"/>
              <w:keepLines w:val="0"/>
              <w:pageBreakBefore w:val="0"/>
              <w:widowControl w:val="0"/>
              <w:kinsoku/>
              <w:wordWrap/>
              <w:overflowPunct/>
              <w:topLinePunct w:val="0"/>
              <w:autoSpaceDE/>
              <w:autoSpaceDN/>
              <w:bidi w:val="0"/>
              <w:jc w:val="center"/>
              <w:textAlignment w:val="auto"/>
              <w:rPr>
                <w:rFonts w:ascii="Times New Roman" w:hAnsi="Times New Roman"/>
                <w:b/>
                <w:szCs w:val="21"/>
              </w:rPr>
            </w:pPr>
            <w:r>
              <w:rPr>
                <w:rFonts w:hint="eastAsia" w:ascii="Times New Roman" w:hAnsi="Times New Roman"/>
                <w:b/>
                <w:szCs w:val="21"/>
              </w:rPr>
              <w:t>属于优先采购清单的类别</w:t>
            </w:r>
          </w:p>
        </w:tc>
        <w:tc>
          <w:tcPr>
            <w:tcW w:w="720" w:type="dxa"/>
            <w:vMerge w:val="restart"/>
            <w:vAlign w:val="center"/>
          </w:tcPr>
          <w:p w14:paraId="66D59B6E">
            <w:pPr>
              <w:keepNext w:val="0"/>
              <w:keepLines w:val="0"/>
              <w:pageBreakBefore w:val="0"/>
              <w:widowControl w:val="0"/>
              <w:kinsoku/>
              <w:wordWrap/>
              <w:overflowPunct/>
              <w:topLinePunct w:val="0"/>
              <w:autoSpaceDE/>
              <w:autoSpaceDN/>
              <w:bidi w:val="0"/>
              <w:jc w:val="center"/>
              <w:textAlignment w:val="auto"/>
              <w:rPr>
                <w:rFonts w:ascii="Times New Roman" w:hAnsi="Times New Roman"/>
                <w:b/>
                <w:szCs w:val="21"/>
              </w:rPr>
            </w:pPr>
            <w:r>
              <w:rPr>
                <w:rFonts w:hint="eastAsia" w:ascii="Times New Roman" w:hAnsi="Times New Roman"/>
                <w:b/>
                <w:szCs w:val="21"/>
              </w:rPr>
              <w:t>备注</w:t>
            </w:r>
          </w:p>
        </w:tc>
      </w:tr>
      <w:tr w14:paraId="79C0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continue"/>
            <w:vAlign w:val="center"/>
          </w:tcPr>
          <w:p w14:paraId="484DED0A">
            <w:pPr>
              <w:keepNext w:val="0"/>
              <w:keepLines w:val="0"/>
              <w:pageBreakBefore w:val="0"/>
              <w:widowControl w:val="0"/>
              <w:kinsoku/>
              <w:wordWrap/>
              <w:overflowPunct/>
              <w:topLinePunct w:val="0"/>
              <w:autoSpaceDE/>
              <w:autoSpaceDN/>
              <w:bidi w:val="0"/>
              <w:textAlignment w:val="auto"/>
              <w:rPr>
                <w:rFonts w:ascii="Times New Roman" w:hAnsi="Times New Roman"/>
                <w:szCs w:val="21"/>
              </w:rPr>
            </w:pPr>
          </w:p>
        </w:tc>
        <w:tc>
          <w:tcPr>
            <w:tcW w:w="1213" w:type="dxa"/>
            <w:vMerge w:val="continue"/>
            <w:vAlign w:val="center"/>
          </w:tcPr>
          <w:p w14:paraId="598711D2">
            <w:pPr>
              <w:keepNext w:val="0"/>
              <w:keepLines w:val="0"/>
              <w:pageBreakBefore w:val="0"/>
              <w:widowControl w:val="0"/>
              <w:kinsoku/>
              <w:wordWrap/>
              <w:overflowPunct/>
              <w:topLinePunct w:val="0"/>
              <w:autoSpaceDE/>
              <w:autoSpaceDN/>
              <w:bidi w:val="0"/>
              <w:textAlignment w:val="auto"/>
              <w:rPr>
                <w:rFonts w:ascii="Times New Roman" w:hAnsi="Times New Roman"/>
                <w:szCs w:val="21"/>
              </w:rPr>
            </w:pPr>
          </w:p>
        </w:tc>
        <w:tc>
          <w:tcPr>
            <w:tcW w:w="1840" w:type="dxa"/>
            <w:vMerge w:val="continue"/>
            <w:vAlign w:val="center"/>
          </w:tcPr>
          <w:p w14:paraId="16A3B305">
            <w:pPr>
              <w:keepNext w:val="0"/>
              <w:keepLines w:val="0"/>
              <w:pageBreakBefore w:val="0"/>
              <w:widowControl w:val="0"/>
              <w:kinsoku/>
              <w:wordWrap/>
              <w:overflowPunct/>
              <w:topLinePunct w:val="0"/>
              <w:autoSpaceDE/>
              <w:autoSpaceDN/>
              <w:bidi w:val="0"/>
              <w:textAlignment w:val="auto"/>
              <w:rPr>
                <w:rFonts w:ascii="Times New Roman" w:hAnsi="Times New Roman"/>
                <w:szCs w:val="21"/>
              </w:rPr>
            </w:pPr>
          </w:p>
        </w:tc>
        <w:tc>
          <w:tcPr>
            <w:tcW w:w="818" w:type="dxa"/>
            <w:vAlign w:val="center"/>
          </w:tcPr>
          <w:p w14:paraId="6506A136">
            <w:pPr>
              <w:keepNext w:val="0"/>
              <w:keepLines w:val="0"/>
              <w:pageBreakBefore w:val="0"/>
              <w:widowControl w:val="0"/>
              <w:kinsoku/>
              <w:wordWrap/>
              <w:overflowPunct/>
              <w:topLinePunct w:val="0"/>
              <w:autoSpaceDE/>
              <w:autoSpaceDN/>
              <w:bidi w:val="0"/>
              <w:textAlignment w:val="auto"/>
              <w:rPr>
                <w:rFonts w:ascii="Times New Roman" w:hAnsi="Times New Roman"/>
                <w:szCs w:val="21"/>
              </w:rPr>
            </w:pPr>
            <w:r>
              <w:rPr>
                <w:rFonts w:hint="eastAsia" w:ascii="Times New Roman" w:hAnsi="Times New Roman"/>
                <w:szCs w:val="21"/>
              </w:rPr>
              <w:t>数量</w:t>
            </w:r>
          </w:p>
        </w:tc>
        <w:tc>
          <w:tcPr>
            <w:tcW w:w="1241" w:type="dxa"/>
            <w:vAlign w:val="center"/>
          </w:tcPr>
          <w:p w14:paraId="2CA781F8">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r>
              <w:rPr>
                <w:rFonts w:hint="eastAsia" w:ascii="Times New Roman" w:hAnsi="Times New Roman"/>
                <w:szCs w:val="21"/>
              </w:rPr>
              <w:t>投标单价（元）</w:t>
            </w:r>
          </w:p>
        </w:tc>
        <w:tc>
          <w:tcPr>
            <w:tcW w:w="2292" w:type="dxa"/>
            <w:vAlign w:val="center"/>
          </w:tcPr>
          <w:p w14:paraId="796094DF">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r>
              <w:rPr>
                <w:rFonts w:hint="eastAsia" w:ascii="Times New Roman" w:hAnsi="Times New Roman"/>
                <w:szCs w:val="21"/>
              </w:rPr>
              <w:t>投标</w:t>
            </w:r>
            <w:r>
              <w:rPr>
                <w:rFonts w:hint="eastAsia" w:ascii="宋体" w:hAnsi="宋体"/>
                <w:szCs w:val="21"/>
              </w:rPr>
              <w:t>合计</w:t>
            </w:r>
            <w:r>
              <w:rPr>
                <w:rFonts w:hint="eastAsia" w:ascii="Times New Roman" w:hAnsi="Times New Roman"/>
                <w:szCs w:val="21"/>
              </w:rPr>
              <w:t>报价（元）</w:t>
            </w:r>
          </w:p>
        </w:tc>
        <w:tc>
          <w:tcPr>
            <w:tcW w:w="1503" w:type="dxa"/>
            <w:vMerge w:val="continue"/>
            <w:vAlign w:val="center"/>
          </w:tcPr>
          <w:p w14:paraId="5C29135F">
            <w:pPr>
              <w:keepNext w:val="0"/>
              <w:keepLines w:val="0"/>
              <w:pageBreakBefore w:val="0"/>
              <w:widowControl w:val="0"/>
              <w:kinsoku/>
              <w:wordWrap/>
              <w:overflowPunct/>
              <w:topLinePunct w:val="0"/>
              <w:autoSpaceDE/>
              <w:autoSpaceDN/>
              <w:bidi w:val="0"/>
              <w:textAlignment w:val="auto"/>
              <w:rPr>
                <w:rFonts w:ascii="Times New Roman" w:hAnsi="Times New Roman"/>
                <w:szCs w:val="21"/>
              </w:rPr>
            </w:pPr>
          </w:p>
        </w:tc>
        <w:tc>
          <w:tcPr>
            <w:tcW w:w="720" w:type="dxa"/>
            <w:vMerge w:val="continue"/>
            <w:vAlign w:val="center"/>
          </w:tcPr>
          <w:p w14:paraId="2368A6FA">
            <w:pPr>
              <w:keepNext w:val="0"/>
              <w:keepLines w:val="0"/>
              <w:pageBreakBefore w:val="0"/>
              <w:widowControl w:val="0"/>
              <w:kinsoku/>
              <w:wordWrap/>
              <w:overflowPunct/>
              <w:topLinePunct w:val="0"/>
              <w:autoSpaceDE/>
              <w:autoSpaceDN/>
              <w:bidi w:val="0"/>
              <w:textAlignment w:val="auto"/>
              <w:rPr>
                <w:rFonts w:ascii="Times New Roman" w:hAnsi="Times New Roman"/>
                <w:szCs w:val="21"/>
              </w:rPr>
            </w:pPr>
          </w:p>
        </w:tc>
      </w:tr>
      <w:tr w14:paraId="20BA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39DE3EAE">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1</w:t>
            </w:r>
          </w:p>
        </w:tc>
        <w:tc>
          <w:tcPr>
            <w:tcW w:w="1213" w:type="dxa"/>
            <w:vAlign w:val="center"/>
          </w:tcPr>
          <w:p w14:paraId="6691E3B2">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1840" w:type="dxa"/>
            <w:vAlign w:val="center"/>
          </w:tcPr>
          <w:p w14:paraId="204A4D27">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818" w:type="dxa"/>
            <w:vAlign w:val="center"/>
          </w:tcPr>
          <w:p w14:paraId="68E56B3B">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1241" w:type="dxa"/>
            <w:vAlign w:val="center"/>
          </w:tcPr>
          <w:p w14:paraId="222991CC">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2292" w:type="dxa"/>
            <w:vAlign w:val="center"/>
          </w:tcPr>
          <w:p w14:paraId="43073B05">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1503" w:type="dxa"/>
            <w:vAlign w:val="center"/>
          </w:tcPr>
          <w:p w14:paraId="2D61CDDC">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720" w:type="dxa"/>
            <w:vAlign w:val="center"/>
          </w:tcPr>
          <w:p w14:paraId="09FADE02">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r>
      <w:tr w14:paraId="3F81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14:paraId="0902D63B">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2</w:t>
            </w:r>
          </w:p>
        </w:tc>
        <w:tc>
          <w:tcPr>
            <w:tcW w:w="1213" w:type="dxa"/>
            <w:vAlign w:val="center"/>
          </w:tcPr>
          <w:p w14:paraId="56AF3B8D">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1840" w:type="dxa"/>
            <w:vAlign w:val="center"/>
          </w:tcPr>
          <w:p w14:paraId="1A924776">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818" w:type="dxa"/>
            <w:vAlign w:val="center"/>
          </w:tcPr>
          <w:p w14:paraId="1ACD1701">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1241" w:type="dxa"/>
            <w:vAlign w:val="center"/>
          </w:tcPr>
          <w:p w14:paraId="164BE226">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2292" w:type="dxa"/>
            <w:vAlign w:val="center"/>
          </w:tcPr>
          <w:p w14:paraId="6831B745">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1503" w:type="dxa"/>
            <w:vAlign w:val="center"/>
          </w:tcPr>
          <w:p w14:paraId="73BD58F9">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c>
          <w:tcPr>
            <w:tcW w:w="720" w:type="dxa"/>
            <w:vAlign w:val="center"/>
          </w:tcPr>
          <w:p w14:paraId="51115238">
            <w:pPr>
              <w:keepNext w:val="0"/>
              <w:keepLines w:val="0"/>
              <w:pageBreakBefore w:val="0"/>
              <w:widowControl w:val="0"/>
              <w:kinsoku/>
              <w:wordWrap/>
              <w:overflowPunct/>
              <w:topLinePunct w:val="0"/>
              <w:autoSpaceDE/>
              <w:autoSpaceDN/>
              <w:bidi w:val="0"/>
              <w:jc w:val="center"/>
              <w:textAlignment w:val="auto"/>
              <w:rPr>
                <w:rFonts w:ascii="Times New Roman" w:hAnsi="Times New Roman"/>
                <w:szCs w:val="21"/>
              </w:rPr>
            </w:pPr>
          </w:p>
        </w:tc>
      </w:tr>
    </w:tbl>
    <w:p w14:paraId="0B3C6CCC">
      <w:pPr>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szCs w:val="21"/>
        </w:rPr>
      </w:pPr>
      <w:r>
        <w:rPr>
          <w:rFonts w:hint="eastAsia" w:ascii="Times New Roman" w:hAnsi="Times New Roman"/>
          <w:szCs w:val="21"/>
        </w:rPr>
        <w:t>注</w:t>
      </w:r>
      <w:r>
        <w:rPr>
          <w:rFonts w:hint="eastAsia" w:ascii="宋体" w:hAnsi="宋体"/>
          <w:szCs w:val="21"/>
        </w:rPr>
        <w:t xml:space="preserve">：1. </w:t>
      </w:r>
      <w:r>
        <w:rPr>
          <w:rFonts w:hint="eastAsia" w:ascii="宋体" w:hAnsi="宋体"/>
          <w:b/>
          <w:szCs w:val="21"/>
        </w:rPr>
        <w:t>对</w:t>
      </w:r>
      <w:r>
        <w:rPr>
          <w:rFonts w:ascii="宋体" w:hAnsi="宋体"/>
          <w:b/>
          <w:szCs w:val="21"/>
        </w:rPr>
        <w:t>属于</w:t>
      </w:r>
      <w:r>
        <w:rPr>
          <w:rFonts w:hint="eastAsia" w:ascii="宋体" w:hAnsi="宋体"/>
          <w:b/>
          <w:szCs w:val="21"/>
        </w:rPr>
        <w:t>《关于调整优化节能产品环境标志产品政府采购执行机制的通知》（财库〔2019〕9号）、《关于印发环境标志产品政府采购品目清单的通知》（财库〔2019〕18号）和《关于印发节能产品政府采购品目清单的通知》（财库〔2019〕19号）</w:t>
      </w:r>
      <w:r>
        <w:rPr>
          <w:rFonts w:ascii="宋体" w:hAnsi="宋体"/>
          <w:b/>
          <w:szCs w:val="21"/>
        </w:rPr>
        <w:t>品目清单范围</w:t>
      </w:r>
      <w:r>
        <w:rPr>
          <w:rFonts w:hint="eastAsia" w:ascii="宋体" w:hAnsi="宋体"/>
          <w:b/>
          <w:szCs w:val="21"/>
        </w:rPr>
        <w:t>内</w:t>
      </w:r>
      <w:r>
        <w:rPr>
          <w:rFonts w:ascii="宋体" w:hAnsi="宋体"/>
          <w:b/>
          <w:szCs w:val="21"/>
        </w:rPr>
        <w:t>的</w:t>
      </w:r>
      <w:r>
        <w:rPr>
          <w:rFonts w:hint="eastAsia" w:ascii="宋体" w:hAnsi="宋体"/>
          <w:b/>
          <w:szCs w:val="21"/>
        </w:rPr>
        <w:t>投标产品，投标人须提供</w:t>
      </w:r>
      <w:r>
        <w:rPr>
          <w:rFonts w:ascii="宋体" w:hAnsi="宋体"/>
          <w:b/>
          <w:szCs w:val="21"/>
        </w:rPr>
        <w:t>国家确定的认证机构出具的、处于有效期之内的节能产品、环境标志产品认证证书，</w:t>
      </w:r>
      <w:r>
        <w:rPr>
          <w:rFonts w:hint="eastAsia" w:ascii="宋体" w:hAnsi="宋体"/>
          <w:b/>
          <w:szCs w:val="21"/>
        </w:rPr>
        <w:t>以及相应的节能或环境标志产品政府采购品目清单，并显著标识投标产品所处位置。</w:t>
      </w:r>
      <w:r>
        <w:rPr>
          <w:rFonts w:hint="eastAsia" w:ascii="宋体" w:hAnsi="宋体"/>
          <w:szCs w:val="21"/>
        </w:rPr>
        <w:t>提供以上证明材料的扫描件或复印件加盖投标人公章，提供的证书若存在不齐全、已过有效期或其他未被评标委员会接受的瑕疵将不予认可。</w:t>
      </w:r>
      <w:r>
        <w:rPr>
          <w:rFonts w:hint="eastAsia" w:ascii="Times New Roman" w:hAnsi="Times New Roman"/>
          <w:szCs w:val="21"/>
        </w:rPr>
        <w:t>投标产品若不属于上述清单或目录范围内，则无需填写该表。</w:t>
      </w:r>
    </w:p>
    <w:p w14:paraId="2CDBFA3C">
      <w:pPr>
        <w:keepNext w:val="0"/>
        <w:keepLines w:val="0"/>
        <w:pageBreakBefore w:val="0"/>
        <w:widowControl w:val="0"/>
        <w:kinsoku/>
        <w:wordWrap/>
        <w:overflowPunct/>
        <w:topLinePunct w:val="0"/>
        <w:autoSpaceDE/>
        <w:autoSpaceDN/>
        <w:bidi w:val="0"/>
        <w:spacing w:line="360" w:lineRule="auto"/>
        <w:textAlignment w:val="auto"/>
        <w:rPr>
          <w:rFonts w:ascii="宋体" w:hAnsi="宋体"/>
          <w:szCs w:val="21"/>
        </w:rPr>
      </w:pPr>
      <w:r>
        <w:rPr>
          <w:rFonts w:hint="eastAsia" w:ascii="宋体" w:hAnsi="宋体"/>
          <w:szCs w:val="21"/>
        </w:rPr>
        <w:t>2. “投标产品报价”栏中须准确填报该投标产品的投标单价、数量及投标合计报价；投标产品名称、规格型号、价格应与“分项报价表”一致，如不一致，以“分项报价表”为准。</w:t>
      </w:r>
    </w:p>
    <w:p w14:paraId="691569B7">
      <w:pPr>
        <w:keepNext w:val="0"/>
        <w:keepLines w:val="0"/>
        <w:pageBreakBefore w:val="0"/>
        <w:widowControl w:val="0"/>
        <w:kinsoku/>
        <w:wordWrap/>
        <w:overflowPunct/>
        <w:topLinePunct w:val="0"/>
        <w:autoSpaceDE/>
        <w:autoSpaceDN/>
        <w:bidi w:val="0"/>
        <w:spacing w:line="360" w:lineRule="auto"/>
        <w:textAlignment w:val="auto"/>
      </w:pPr>
      <w:r>
        <w:rPr>
          <w:rFonts w:hint="eastAsia" w:ascii="宋体" w:hAnsi="宋体"/>
          <w:szCs w:val="21"/>
        </w:rPr>
        <w:t>3. “属于优先采购清单的类别”栏中填写“节能产品政府采购品目清单”或“环境标志产品政府采购品目清单”。</w:t>
      </w:r>
      <w:r>
        <w:br w:type="page"/>
      </w:r>
    </w:p>
    <w:p w14:paraId="6F68F705">
      <w:pPr>
        <w:keepNext w:val="0"/>
        <w:keepLines w:val="0"/>
        <w:pageBreakBefore w:val="0"/>
        <w:widowControl w:val="0"/>
        <w:kinsoku/>
        <w:wordWrap/>
        <w:overflowPunct/>
        <w:topLinePunct w:val="0"/>
        <w:autoSpaceDE/>
        <w:autoSpaceDN/>
        <w:bidi w:val="0"/>
        <w:textAlignment w:val="auto"/>
        <w:rPr>
          <w:rFonts w:ascii="仿宋_GB2312" w:eastAsia="仿宋_GB2312"/>
          <w:b/>
          <w:color w:val="FF0000"/>
          <w:sz w:val="30"/>
          <w:szCs w:val="30"/>
        </w:rPr>
      </w:pPr>
      <w:r>
        <w:rPr>
          <w:rFonts w:hint="eastAsia" w:ascii="仿宋_GB2312" w:eastAsia="仿宋_GB2312"/>
          <w:b/>
          <w:color w:val="FF0000"/>
          <w:sz w:val="30"/>
          <w:szCs w:val="30"/>
        </w:rPr>
        <w:t>投标文件附件（信息不公开部分）：</w:t>
      </w:r>
    </w:p>
    <w:p w14:paraId="48AE0BA0">
      <w:pPr>
        <w:keepNext w:val="0"/>
        <w:keepLines w:val="0"/>
        <w:pageBreakBefore w:val="0"/>
        <w:widowControl w:val="0"/>
        <w:kinsoku/>
        <w:wordWrap/>
        <w:overflowPunct/>
        <w:topLinePunct w:val="0"/>
        <w:autoSpaceDE/>
        <w:autoSpaceDN/>
        <w:bidi w:val="0"/>
        <w:spacing w:before="260" w:after="260"/>
        <w:jc w:val="center"/>
        <w:textAlignment w:val="auto"/>
        <w:outlineLvl w:val="2"/>
        <w:rPr>
          <w:rFonts w:ascii="黑体" w:hAnsi="宋体" w:eastAsia="黑体"/>
          <w:bCs/>
          <w:kern w:val="0"/>
          <w:sz w:val="24"/>
          <w:szCs w:val="32"/>
        </w:rPr>
      </w:pPr>
      <w:r>
        <w:rPr>
          <w:rFonts w:hint="eastAsia" w:ascii="黑体" w:hAnsi="宋体" w:eastAsia="黑体"/>
          <w:bCs/>
          <w:kern w:val="0"/>
          <w:sz w:val="24"/>
          <w:szCs w:val="32"/>
        </w:rPr>
        <w:t>五、政府采购违法行为风险知悉确认书</w:t>
      </w:r>
    </w:p>
    <w:p w14:paraId="494CF58F">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本公司在投标前已充分知悉以下情形为参与政府采购活动时的重大风险事项，并承诺已对下述风险提示事项重点排查，做到严谨、诚信、依法依规参与政府采购活动。</w:t>
      </w:r>
    </w:p>
    <w:p w14:paraId="76CB452D">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ascii="宋体" w:hAnsi="宋体"/>
          <w:b/>
          <w:szCs w:val="21"/>
        </w:rPr>
      </w:pPr>
      <w:r>
        <w:rPr>
          <w:rFonts w:hint="eastAsia" w:ascii="宋体" w:hAnsi="宋体"/>
          <w:b/>
          <w:szCs w:val="21"/>
        </w:rPr>
        <w:t>一、本公司已充分知悉“隐瞒真实情况，提供虚假资料”的法定情形，相关情形包括但不限于：</w:t>
      </w:r>
    </w:p>
    <w:p w14:paraId="6A1C545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（一）通过转让或者租借等方式从其他单位获取资格或者资质证书投标的。</w:t>
      </w:r>
    </w:p>
    <w:p w14:paraId="5E0FAAAC">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（二）由其他单位或者其他单位负责人在投标供应商编制的投标文件上加盖印章或者签字的。</w:t>
      </w:r>
    </w:p>
    <w:p w14:paraId="7ECF2582">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（三）项目负责人或者主要技术人员不是本单位人员的。</w:t>
      </w:r>
    </w:p>
    <w:p w14:paraId="4D6E262F">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（四）投标保证金不是从投标供应商基本账户转出的。</w:t>
      </w:r>
    </w:p>
    <w:p w14:paraId="145E9C3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（五）其他隐瞒真实情况、提供虚假资料的行为。</w:t>
      </w:r>
    </w:p>
    <w:p w14:paraId="1A84E8E2">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ascii="宋体" w:hAnsi="宋体"/>
          <w:b/>
          <w:szCs w:val="21"/>
        </w:rPr>
      </w:pPr>
      <w:r>
        <w:rPr>
          <w:rFonts w:hint="eastAsia" w:ascii="宋体" w:hAnsi="宋体"/>
          <w:b/>
          <w:szCs w:val="21"/>
        </w:rPr>
        <w:t>二、本公司已充分知悉“与其他采购参加人串通投标”的法定情形，相关情形包括但不限于：</w:t>
      </w:r>
    </w:p>
    <w:p w14:paraId="4193490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（一）投标供应商之间相互约定给予未中标的供应商利益补偿。</w:t>
      </w:r>
    </w:p>
    <w:p w14:paraId="6A6EC2B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（二）不同投标供应商的法定代表人、主要经营负责人、项目投标授权代表人、项目负责人、主要技术人员为同一人、属同一单位或者在同一单位缴纳社会保险。</w:t>
      </w:r>
    </w:p>
    <w:p w14:paraId="6F4DA64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（三）不同投标供应商的投标文件由同一单位或者同一人编制，或者由同一人分阶段参与编制的。</w:t>
      </w:r>
    </w:p>
    <w:p w14:paraId="1EB64B9C">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（四）不同投标供应商的投标文件或部分投标文件相互混装。</w:t>
      </w:r>
    </w:p>
    <w:p w14:paraId="58524F6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（五）不同投标供应商的投标文件内容存在非正常一致。</w:t>
      </w:r>
    </w:p>
    <w:p w14:paraId="7FBD728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（六）由同一单位工作人员为两家以上（含两家）供应商进行同一项投标活动的。</w:t>
      </w:r>
    </w:p>
    <w:p w14:paraId="58CB46A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（七）不同投标人的投标报价呈规律性差异。</w:t>
      </w:r>
    </w:p>
    <w:p w14:paraId="42F5442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（八）不同投标人的投标保证金从同一单位或者个人的账户转出。</w:t>
      </w:r>
    </w:p>
    <w:p w14:paraId="065D6880">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（九）主管部门依照法律、法规认定的其他情形。</w:t>
      </w:r>
    </w:p>
    <w:p w14:paraId="27D77147">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ascii="宋体" w:hAnsi="宋体"/>
          <w:b/>
          <w:szCs w:val="21"/>
        </w:rPr>
      </w:pPr>
      <w:r>
        <w:rPr>
          <w:rFonts w:hint="eastAsia" w:ascii="宋体" w:hAnsi="宋体"/>
          <w:b/>
          <w:szCs w:val="21"/>
        </w:rPr>
        <w:t>三、本公司已充分知悉下列情形所对应的法律风险，并在投标前已对相关风险事项进行排查。</w:t>
      </w:r>
    </w:p>
    <w:p w14:paraId="47F82A8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b/>
          <w:szCs w:val="21"/>
        </w:rPr>
      </w:pPr>
      <w:r>
        <w:rPr>
          <w:rFonts w:hint="eastAsia" w:ascii="宋体" w:hAnsi="宋体"/>
          <w:szCs w:val="21"/>
        </w:rPr>
        <w:t>（一）对于从其他主体获取的投标资料，供应商应审慎核查，确保投标资料的真实性。</w:t>
      </w:r>
      <w:r>
        <w:rPr>
          <w:rFonts w:hint="eastAsia" w:ascii="宋体" w:hAnsi="宋体"/>
          <w:b/>
          <w:szCs w:val="21"/>
        </w:rPr>
        <w:t>如主管部门查实投标文件中存在虚假资料的，无论相关资料是否由第三方或本公司员工提供，均不影响主管部门对供应商存在“隐瞒真实情况，提供虚假资料”违法行为的认定。</w:t>
      </w:r>
    </w:p>
    <w:p w14:paraId="71E74A9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6048BF3C">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（三）对于涉及安全生产、特种作业、抢险救灾、防疫等政府采购项目，供应商实施提供虚假资料、串通投标等违法行为的，主管部门将依法从严处理。</w:t>
      </w:r>
    </w:p>
    <w:p w14:paraId="2875FC4B">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03CFD70F">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444A0D9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67807A77">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ascii="宋体" w:hAnsi="宋体"/>
          <w:szCs w:val="21"/>
        </w:rPr>
      </w:pPr>
      <w:r>
        <w:rPr>
          <w:rFonts w:hint="eastAsia" w:ascii="宋体" w:hAnsi="宋体"/>
          <w:b/>
          <w:szCs w:val="21"/>
        </w:rPr>
        <w:t>四、本公司已充分知悉政府采购违法、违规行为的法律后果。</w:t>
      </w:r>
      <w:r>
        <w:rPr>
          <w:rFonts w:hint="eastAsia" w:ascii="宋体" w:hAnsi="宋体"/>
          <w:szCs w:val="21"/>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5ECA160B">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ascii="宋体" w:hAnsi="宋体"/>
          <w:b/>
          <w:szCs w:val="21"/>
        </w:rPr>
      </w:pPr>
      <w:r>
        <w:rPr>
          <w:rFonts w:hint="eastAsia" w:ascii="宋体" w:hAnsi="宋体"/>
          <w:b/>
          <w:szCs w:val="21"/>
        </w:rPr>
        <w:t>以下文字请投标供应商抄写并确认：“本公司已仔细阅读《政府采购违法行为风险知悉确认书》，充分知悉违法行为的法律后果，并承诺将严谨、诚信、依法依规参与政府采购活动”。</w:t>
      </w:r>
    </w:p>
    <w:p w14:paraId="347C195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eastAsiaTheme="minorEastAsia" w:cstheme="minorBidi"/>
          <w:szCs w:val="21"/>
          <w:u w:val="single"/>
        </w:rPr>
      </w:pPr>
      <w:r>
        <w:rPr>
          <w:rFonts w:hint="eastAsia" w:ascii="宋体" w:hAnsi="宋体" w:eastAsiaTheme="minorEastAsia" w:cstheme="minorBidi"/>
          <w:szCs w:val="21"/>
          <w:u w:val="single"/>
        </w:rPr>
        <w:t xml:space="preserve">                                                                                   </w:t>
      </w:r>
    </w:p>
    <w:p w14:paraId="6F4A7DF7">
      <w:pPr>
        <w:keepNext w:val="0"/>
        <w:keepLines w:val="0"/>
        <w:pageBreakBefore w:val="0"/>
        <w:widowControl w:val="0"/>
        <w:kinsoku/>
        <w:wordWrap/>
        <w:overflowPunct/>
        <w:topLinePunct w:val="0"/>
        <w:autoSpaceDE/>
        <w:autoSpaceDN/>
        <w:bidi w:val="0"/>
        <w:spacing w:line="360" w:lineRule="auto"/>
        <w:textAlignment w:val="auto"/>
        <w:rPr>
          <w:rFonts w:ascii="宋体" w:hAnsi="宋体" w:eastAsiaTheme="minorEastAsia" w:cstheme="minorBidi"/>
          <w:szCs w:val="21"/>
          <w:u w:val="single"/>
        </w:rPr>
      </w:pPr>
      <w:r>
        <w:rPr>
          <w:rFonts w:hint="eastAsia" w:ascii="宋体" w:hAnsi="宋体" w:eastAsiaTheme="minorEastAsia" w:cstheme="minorBidi"/>
          <w:szCs w:val="21"/>
          <w:u w:val="single"/>
        </w:rPr>
        <w:t xml:space="preserve">                                                                                       </w:t>
      </w:r>
    </w:p>
    <w:p w14:paraId="0937DE23">
      <w:pPr>
        <w:keepNext w:val="0"/>
        <w:keepLines w:val="0"/>
        <w:pageBreakBefore w:val="0"/>
        <w:widowControl w:val="0"/>
        <w:kinsoku/>
        <w:wordWrap/>
        <w:overflowPunct/>
        <w:topLinePunct w:val="0"/>
        <w:autoSpaceDE/>
        <w:autoSpaceDN/>
        <w:bidi w:val="0"/>
        <w:spacing w:line="360" w:lineRule="auto"/>
        <w:textAlignment w:val="auto"/>
        <w:rPr>
          <w:rFonts w:ascii="宋体" w:hAnsi="宋体" w:eastAsiaTheme="minorEastAsia" w:cstheme="minorBidi"/>
          <w:szCs w:val="21"/>
          <w:u w:val="single"/>
        </w:rPr>
      </w:pPr>
      <w:r>
        <w:rPr>
          <w:rFonts w:hint="eastAsia" w:ascii="宋体" w:hAnsi="宋体" w:eastAsiaTheme="minorEastAsia" w:cstheme="minorBidi"/>
          <w:szCs w:val="21"/>
          <w:u w:val="single"/>
        </w:rPr>
        <w:t xml:space="preserve">                                                                                       </w:t>
      </w:r>
    </w:p>
    <w:p w14:paraId="4D4B4971">
      <w:pPr>
        <w:keepNext w:val="0"/>
        <w:keepLines w:val="0"/>
        <w:pageBreakBefore w:val="0"/>
        <w:widowControl w:val="0"/>
        <w:kinsoku/>
        <w:wordWrap/>
        <w:overflowPunct/>
        <w:topLinePunct w:val="0"/>
        <w:autoSpaceDE/>
        <w:autoSpaceDN/>
        <w:bidi w:val="0"/>
        <w:spacing w:line="360" w:lineRule="auto"/>
        <w:textAlignment w:val="auto"/>
        <w:rPr>
          <w:rFonts w:ascii="宋体" w:hAnsi="宋体"/>
          <w:szCs w:val="21"/>
          <w:u w:val="single"/>
        </w:rPr>
      </w:pPr>
    </w:p>
    <w:p w14:paraId="7BC01156">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负责人</w:t>
      </w:r>
      <w:r>
        <w:rPr>
          <w:rFonts w:ascii="宋体" w:hAnsi="宋体"/>
          <w:szCs w:val="21"/>
        </w:rPr>
        <w:t>/</w:t>
      </w:r>
      <w:r>
        <w:rPr>
          <w:rFonts w:hint="eastAsia" w:ascii="宋体" w:hAnsi="宋体"/>
          <w:szCs w:val="21"/>
        </w:rPr>
        <w:t>投标授权代表签名：</w:t>
      </w:r>
    </w:p>
    <w:p w14:paraId="0BC49D7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知悉人（公章）：</w:t>
      </w:r>
    </w:p>
    <w:p w14:paraId="4CDECD6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hint="eastAsia" w:ascii="宋体" w:hAnsi="宋体"/>
          <w:szCs w:val="21"/>
        </w:rPr>
        <w:t>日期：</w:t>
      </w:r>
    </w:p>
    <w:p w14:paraId="64CA1B1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p>
    <w:p w14:paraId="76D857E2">
      <w:pPr>
        <w:keepNext w:val="0"/>
        <w:keepLines w:val="0"/>
        <w:pageBreakBefore w:val="0"/>
        <w:widowControl w:val="0"/>
        <w:kinsoku/>
        <w:wordWrap/>
        <w:overflowPunct/>
        <w:topLinePunct w:val="0"/>
        <w:autoSpaceDE/>
        <w:autoSpaceDN/>
        <w:bidi w:val="0"/>
        <w:textAlignment w:val="auto"/>
        <w:rPr>
          <w:rFonts w:ascii="宋体" w:hAnsi="宋体"/>
          <w:szCs w:val="21"/>
        </w:rPr>
      </w:pPr>
      <w:r>
        <w:rPr>
          <w:rFonts w:hint="eastAsia"/>
          <w:szCs w:val="21"/>
          <w:u w:val="single"/>
        </w:rPr>
        <w:t>（备注：如联合体投标，知悉人处仅需加盖牵头人的公章）</w:t>
      </w:r>
    </w:p>
    <w:p w14:paraId="33EAB522">
      <w:pPr>
        <w:keepNext w:val="0"/>
        <w:keepLines w:val="0"/>
        <w:pageBreakBefore w:val="0"/>
        <w:widowControl w:val="0"/>
        <w:kinsoku/>
        <w:wordWrap/>
        <w:overflowPunct/>
        <w:topLinePunct w:val="0"/>
        <w:autoSpaceDE/>
        <w:autoSpaceDN/>
        <w:bidi w:val="0"/>
        <w:textAlignment w:val="auto"/>
        <w:rPr>
          <w:rFonts w:ascii="仿宋_GB2312" w:eastAsia="仿宋_GB2312"/>
          <w:b/>
          <w:sz w:val="30"/>
          <w:szCs w:val="30"/>
        </w:rPr>
      </w:pPr>
    </w:p>
    <w:p w14:paraId="23A0FE65">
      <w:pPr>
        <w:keepNext w:val="0"/>
        <w:keepLines w:val="0"/>
        <w:pageBreakBefore w:val="0"/>
        <w:widowControl w:val="0"/>
        <w:kinsoku/>
        <w:wordWrap/>
        <w:overflowPunct/>
        <w:topLinePunct w:val="0"/>
        <w:autoSpaceDE/>
        <w:autoSpaceDN/>
        <w:bidi w:val="0"/>
        <w:spacing w:before="260" w:after="260"/>
        <w:jc w:val="center"/>
        <w:textAlignment w:val="auto"/>
        <w:outlineLvl w:val="2"/>
        <w:rPr>
          <w:rFonts w:ascii="黑体" w:hAnsi="宋体" w:eastAsia="黑体"/>
          <w:bCs/>
          <w:kern w:val="0"/>
          <w:sz w:val="24"/>
          <w:szCs w:val="32"/>
        </w:rPr>
      </w:pPr>
      <w:r>
        <w:rPr>
          <w:rFonts w:hint="eastAsia" w:ascii="黑体" w:hAnsi="宋体" w:eastAsia="黑体"/>
          <w:bCs/>
          <w:kern w:val="0"/>
          <w:sz w:val="24"/>
          <w:szCs w:val="32"/>
        </w:rPr>
        <w:t>六、法定代表人（负责人）资格证明书</w:t>
      </w:r>
    </w:p>
    <w:p w14:paraId="734A546E">
      <w:pPr>
        <w:keepNext w:val="0"/>
        <w:keepLines w:val="0"/>
        <w:pageBreakBefore w:val="0"/>
        <w:widowControl w:val="0"/>
        <w:kinsoku/>
        <w:wordWrap/>
        <w:overflowPunct/>
        <w:topLinePunct w:val="0"/>
        <w:autoSpaceDE/>
        <w:autoSpaceDN/>
        <w:bidi w:val="0"/>
        <w:textAlignment w:val="auto"/>
        <w:rPr>
          <w:rFonts w:ascii="Times New Roman" w:hAnsi="Times New Roman"/>
          <w:sz w:val="24"/>
          <w:szCs w:val="24"/>
        </w:rPr>
      </w:pPr>
    </w:p>
    <w:p w14:paraId="484E43A9">
      <w:pPr>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szCs w:val="21"/>
        </w:rPr>
      </w:pPr>
      <w:r>
        <w:rPr>
          <w:rFonts w:hint="eastAsia" w:ascii="Times New Roman" w:hAnsi="Times New Roman"/>
          <w:szCs w:val="21"/>
        </w:rPr>
        <w:t xml:space="preserve">   </w:t>
      </w:r>
      <w:r>
        <w:rPr>
          <w:rFonts w:hint="eastAsia" w:ascii="Times New Roman" w:hAnsi="Times New Roman"/>
          <w:szCs w:val="21"/>
          <w:u w:val="single"/>
        </w:rPr>
        <w:t xml:space="preserve">         </w:t>
      </w:r>
      <w:r>
        <w:rPr>
          <w:rFonts w:hint="eastAsia" w:ascii="Times New Roman" w:hAnsi="Times New Roman"/>
          <w:szCs w:val="21"/>
        </w:rPr>
        <w:t>同志，现任我单位</w:t>
      </w:r>
      <w:r>
        <w:rPr>
          <w:rFonts w:hint="eastAsia" w:ascii="Times New Roman" w:hAnsi="Times New Roman"/>
          <w:szCs w:val="21"/>
          <w:u w:val="single"/>
        </w:rPr>
        <w:t xml:space="preserve">         </w:t>
      </w:r>
      <w:r>
        <w:rPr>
          <w:rFonts w:hint="eastAsia" w:ascii="Times New Roman" w:hAnsi="Times New Roman"/>
          <w:szCs w:val="21"/>
        </w:rPr>
        <w:t>职务，为法定代表人</w:t>
      </w:r>
      <w:r>
        <w:rPr>
          <w:rFonts w:hint="eastAsia" w:ascii="黑体" w:hAnsi="Times New Roman" w:eastAsia="黑体"/>
          <w:b/>
          <w:kern w:val="0"/>
          <w:sz w:val="24"/>
          <w:szCs w:val="24"/>
        </w:rPr>
        <w:t>（负责人）</w:t>
      </w:r>
      <w:r>
        <w:rPr>
          <w:rFonts w:hint="eastAsia" w:ascii="Times New Roman" w:hAnsi="Times New Roman"/>
          <w:szCs w:val="21"/>
        </w:rPr>
        <w:t>，特此证明。</w:t>
      </w:r>
    </w:p>
    <w:p w14:paraId="61677242">
      <w:pPr>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szCs w:val="21"/>
        </w:rPr>
      </w:pPr>
      <w:r>
        <w:rPr>
          <w:rFonts w:hint="eastAsia" w:ascii="Times New Roman" w:hAnsi="Times New Roman"/>
          <w:szCs w:val="21"/>
        </w:rPr>
        <w:t>说明：1、法定代表人为企业事业单位、国家机关、社会团体的主要负责人。</w:t>
      </w:r>
    </w:p>
    <w:p w14:paraId="19822513">
      <w:pPr>
        <w:keepNext w:val="0"/>
        <w:keepLines w:val="0"/>
        <w:pageBreakBefore w:val="0"/>
        <w:widowControl w:val="0"/>
        <w:kinsoku/>
        <w:wordWrap/>
        <w:overflowPunct/>
        <w:topLinePunct w:val="0"/>
        <w:autoSpaceDE/>
        <w:autoSpaceDN/>
        <w:bidi w:val="0"/>
        <w:textAlignment w:val="auto"/>
        <w:rPr>
          <w:rFonts w:ascii="Times New Roman" w:hAnsi="Times New Roman"/>
          <w:szCs w:val="21"/>
        </w:rPr>
      </w:pPr>
      <w:r>
        <w:rPr>
          <w:rFonts w:hint="eastAsia" w:ascii="Times New Roman" w:hAnsi="Times New Roman"/>
          <w:szCs w:val="21"/>
        </w:rPr>
        <w:t xml:space="preserve">      2、内容必须填写真实、清楚，涂改无效，不得转让、买卖。</w:t>
      </w:r>
    </w:p>
    <w:p w14:paraId="22B3AC93">
      <w:pPr>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b/>
          <w:szCs w:val="21"/>
        </w:rPr>
      </w:pPr>
    </w:p>
    <w:p w14:paraId="050C55D3">
      <w:pPr>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b/>
          <w:sz w:val="24"/>
          <w:szCs w:val="24"/>
        </w:rPr>
      </w:pPr>
      <w:r>
        <w:rPr>
          <w:rFonts w:hint="eastAsia" w:ascii="Times New Roman" w:hAnsi="Times New Roman"/>
          <w:b/>
          <w:sz w:val="24"/>
          <w:szCs w:val="24"/>
        </w:rPr>
        <w:t>附：要求必须提供法定代表人（负责人）身份证扫描件（正反两面）。</w:t>
      </w:r>
    </w:p>
    <w:p w14:paraId="2273123C">
      <w:pPr>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b/>
          <w:sz w:val="24"/>
          <w:szCs w:val="24"/>
        </w:rPr>
      </w:pPr>
    </w:p>
    <w:p w14:paraId="5E23DA48">
      <w:pPr>
        <w:keepNext w:val="0"/>
        <w:keepLines w:val="0"/>
        <w:pageBreakBefore w:val="0"/>
        <w:widowControl w:val="0"/>
        <w:kinsoku/>
        <w:wordWrap/>
        <w:overflowPunct/>
        <w:topLinePunct w:val="0"/>
        <w:autoSpaceDE/>
        <w:autoSpaceDN/>
        <w:bidi w:val="0"/>
        <w:textAlignment w:val="auto"/>
        <w:rPr>
          <w:rFonts w:ascii="宋体" w:hAnsi="宋体"/>
          <w:szCs w:val="21"/>
        </w:rPr>
      </w:pPr>
      <w:r>
        <w:rPr>
          <w:rFonts w:hint="eastAsia"/>
          <w:szCs w:val="21"/>
          <w:u w:val="single"/>
        </w:rPr>
        <w:t>（备注：如联合体投标，单位一栏仅需填写牵头人的名称）</w:t>
      </w:r>
    </w:p>
    <w:p w14:paraId="70E15C66">
      <w:pPr>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b/>
          <w:sz w:val="24"/>
          <w:szCs w:val="24"/>
        </w:rPr>
      </w:pPr>
    </w:p>
    <w:p w14:paraId="4D813B4E">
      <w:pPr>
        <w:keepNext w:val="0"/>
        <w:keepLines w:val="0"/>
        <w:pageBreakBefore w:val="0"/>
        <w:widowControl w:val="0"/>
        <w:kinsoku/>
        <w:wordWrap/>
        <w:overflowPunct/>
        <w:topLinePunct w:val="0"/>
        <w:autoSpaceDE/>
        <w:autoSpaceDN/>
        <w:bidi w:val="0"/>
        <w:spacing w:before="260" w:after="260"/>
        <w:jc w:val="center"/>
        <w:textAlignment w:val="auto"/>
        <w:outlineLvl w:val="2"/>
        <w:rPr>
          <w:rFonts w:ascii="黑体" w:hAnsi="宋体" w:eastAsia="黑体"/>
          <w:bCs/>
          <w:sz w:val="24"/>
          <w:szCs w:val="24"/>
        </w:rPr>
      </w:pPr>
      <w:r>
        <w:rPr>
          <w:rFonts w:ascii="宋体" w:hAnsi="宋体"/>
          <w:b/>
          <w:bCs/>
          <w:sz w:val="28"/>
          <w:szCs w:val="32"/>
        </w:rPr>
        <w:tab/>
      </w:r>
      <w:r>
        <w:rPr>
          <w:rFonts w:hint="eastAsia" w:ascii="黑体" w:hAnsi="宋体" w:eastAsia="黑体"/>
          <w:bCs/>
          <w:kern w:val="0"/>
          <w:sz w:val="24"/>
          <w:szCs w:val="24"/>
        </w:rPr>
        <w:t>七、投标文件签署授权委托书</w:t>
      </w:r>
    </w:p>
    <w:p w14:paraId="3C62CF9C">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Times New Roman" w:hAnsi="Times New Roman"/>
          <w:szCs w:val="21"/>
        </w:rPr>
      </w:pPr>
      <w:r>
        <w:rPr>
          <w:rFonts w:hint="eastAsia" w:ascii="Times New Roman" w:hAnsi="Times New Roman"/>
          <w:szCs w:val="21"/>
        </w:rPr>
        <w:t>本授权委托书声明：我</w:t>
      </w:r>
      <w:r>
        <w:rPr>
          <w:rFonts w:hint="eastAsia" w:ascii="Times New Roman" w:hAnsi="Times New Roman"/>
          <w:szCs w:val="21"/>
          <w:u w:val="single"/>
        </w:rPr>
        <w:t xml:space="preserve">           </w:t>
      </w:r>
      <w:r>
        <w:rPr>
          <w:rFonts w:hint="eastAsia" w:ascii="Times New Roman" w:hAnsi="Times New Roman"/>
          <w:szCs w:val="21"/>
        </w:rPr>
        <w:t>（姓名）系</w:t>
      </w:r>
      <w:r>
        <w:rPr>
          <w:rFonts w:hint="eastAsia" w:ascii="Times New Roman" w:hAnsi="Times New Roman"/>
          <w:szCs w:val="21"/>
          <w:u w:val="single"/>
        </w:rPr>
        <w:t xml:space="preserve">             </w:t>
      </w:r>
      <w:r>
        <w:rPr>
          <w:rFonts w:hint="eastAsia" w:ascii="Times New Roman" w:hAnsi="Times New Roman"/>
          <w:szCs w:val="21"/>
        </w:rPr>
        <w:t>（投标供应商名称）的法定代表人</w:t>
      </w:r>
      <w:r>
        <w:rPr>
          <w:rFonts w:hint="eastAsia" w:ascii="黑体" w:hAnsi="Times New Roman" w:eastAsia="黑体"/>
          <w:b/>
          <w:kern w:val="0"/>
          <w:sz w:val="24"/>
          <w:szCs w:val="24"/>
        </w:rPr>
        <w:t>（负责人）</w:t>
      </w:r>
      <w:r>
        <w:rPr>
          <w:rFonts w:hint="eastAsia" w:ascii="Times New Roman" w:hAnsi="Times New Roman"/>
          <w:szCs w:val="21"/>
        </w:rPr>
        <w:t>，现授权委托</w:t>
      </w:r>
      <w:r>
        <w:rPr>
          <w:rFonts w:hint="eastAsia" w:ascii="Times New Roman" w:hAnsi="Times New Roman"/>
          <w:szCs w:val="21"/>
          <w:u w:val="single"/>
        </w:rPr>
        <w:t xml:space="preserve">            </w:t>
      </w:r>
      <w:r>
        <w:rPr>
          <w:rFonts w:hint="eastAsia" w:ascii="Times New Roman" w:hAnsi="Times New Roman"/>
          <w:szCs w:val="21"/>
        </w:rPr>
        <w:t>（姓名）为我公司签署本项目已递交的投标文件的法定代表人的授权委托代理人，代理人全权代表我所签署的本项目已递交的投标文件内容我均承认。</w:t>
      </w:r>
    </w:p>
    <w:p w14:paraId="43AE6765">
      <w:pPr>
        <w:keepNext w:val="0"/>
        <w:keepLines w:val="0"/>
        <w:pageBreakBefore w:val="0"/>
        <w:widowControl w:val="0"/>
        <w:kinsoku/>
        <w:wordWrap/>
        <w:overflowPunct/>
        <w:topLinePunct w:val="0"/>
        <w:autoSpaceDE/>
        <w:autoSpaceDN/>
        <w:bidi w:val="0"/>
        <w:spacing w:line="360" w:lineRule="auto"/>
        <w:ind w:firstLine="420"/>
        <w:textAlignment w:val="auto"/>
        <w:rPr>
          <w:rFonts w:ascii="Times New Roman" w:hAnsi="Times New Roman"/>
          <w:szCs w:val="21"/>
        </w:rPr>
      </w:pPr>
      <w:r>
        <w:rPr>
          <w:rFonts w:hint="eastAsia" w:ascii="Times New Roman" w:hAnsi="Times New Roman"/>
          <w:szCs w:val="21"/>
        </w:rPr>
        <w:t>代理人无转委托权，特此委托。</w:t>
      </w:r>
    </w:p>
    <w:p w14:paraId="22810B7D">
      <w:pPr>
        <w:keepNext w:val="0"/>
        <w:keepLines w:val="0"/>
        <w:pageBreakBefore w:val="0"/>
        <w:widowControl w:val="0"/>
        <w:kinsoku/>
        <w:wordWrap/>
        <w:overflowPunct/>
        <w:topLinePunct w:val="0"/>
        <w:autoSpaceDE/>
        <w:autoSpaceDN/>
        <w:bidi w:val="0"/>
        <w:spacing w:line="360" w:lineRule="auto"/>
        <w:ind w:firstLine="420"/>
        <w:textAlignment w:val="auto"/>
        <w:rPr>
          <w:rFonts w:ascii="Times New Roman" w:hAnsi="Times New Roman"/>
          <w:szCs w:val="21"/>
        </w:rPr>
      </w:pPr>
    </w:p>
    <w:p w14:paraId="531E14CB">
      <w:pPr>
        <w:keepNext w:val="0"/>
        <w:keepLines w:val="0"/>
        <w:pageBreakBefore w:val="0"/>
        <w:widowControl w:val="0"/>
        <w:kinsoku/>
        <w:wordWrap/>
        <w:overflowPunct/>
        <w:topLinePunct w:val="0"/>
        <w:autoSpaceDE/>
        <w:autoSpaceDN/>
        <w:bidi w:val="0"/>
        <w:spacing w:line="360" w:lineRule="auto"/>
        <w:ind w:left="540" w:leftChars="257"/>
        <w:textAlignment w:val="auto"/>
        <w:rPr>
          <w:rFonts w:ascii="Times New Roman" w:hAnsi="Times New Roman"/>
          <w:szCs w:val="21"/>
          <w:u w:val="single"/>
        </w:rPr>
      </w:pPr>
      <w:r>
        <w:rPr>
          <w:rFonts w:hint="eastAsia" w:ascii="Times New Roman" w:hAnsi="Times New Roman"/>
          <w:szCs w:val="21"/>
        </w:rPr>
        <w:t>代理人：</w:t>
      </w:r>
      <w:r>
        <w:rPr>
          <w:rFonts w:hint="eastAsia" w:ascii="Times New Roman" w:hAnsi="Times New Roman"/>
          <w:szCs w:val="21"/>
          <w:u w:val="single"/>
        </w:rPr>
        <w:t xml:space="preserve">             </w:t>
      </w:r>
    </w:p>
    <w:p w14:paraId="714E699A">
      <w:pPr>
        <w:keepNext w:val="0"/>
        <w:keepLines w:val="0"/>
        <w:pageBreakBefore w:val="0"/>
        <w:widowControl w:val="0"/>
        <w:kinsoku/>
        <w:wordWrap/>
        <w:overflowPunct/>
        <w:topLinePunct w:val="0"/>
        <w:autoSpaceDE/>
        <w:autoSpaceDN/>
        <w:bidi w:val="0"/>
        <w:spacing w:line="360" w:lineRule="auto"/>
        <w:ind w:left="540" w:leftChars="257"/>
        <w:textAlignment w:val="auto"/>
        <w:rPr>
          <w:rFonts w:ascii="Times New Roman" w:hAnsi="Times New Roman"/>
          <w:szCs w:val="21"/>
        </w:rPr>
      </w:pPr>
      <w:r>
        <w:rPr>
          <w:rFonts w:hint="eastAsia" w:ascii="Times New Roman" w:hAnsi="Times New Roman"/>
          <w:szCs w:val="21"/>
        </w:rPr>
        <w:t>联系电话：</w:t>
      </w:r>
      <w:r>
        <w:rPr>
          <w:rFonts w:hint="eastAsia" w:ascii="Times New Roman" w:hAnsi="Times New Roman"/>
          <w:szCs w:val="21"/>
          <w:u w:val="single"/>
        </w:rPr>
        <w:t xml:space="preserve">            </w:t>
      </w:r>
      <w:r>
        <w:rPr>
          <w:rFonts w:hint="eastAsia" w:ascii="Times New Roman" w:hAnsi="Times New Roman"/>
          <w:szCs w:val="21"/>
        </w:rPr>
        <w:t xml:space="preserve">  手机：</w:t>
      </w:r>
      <w:r>
        <w:rPr>
          <w:rFonts w:hint="eastAsia" w:ascii="Times New Roman" w:hAnsi="Times New Roman"/>
          <w:szCs w:val="21"/>
          <w:u w:val="single"/>
        </w:rPr>
        <w:t xml:space="preserve">                   </w:t>
      </w:r>
    </w:p>
    <w:p w14:paraId="5E65E1BF">
      <w:pPr>
        <w:keepNext w:val="0"/>
        <w:keepLines w:val="0"/>
        <w:pageBreakBefore w:val="0"/>
        <w:widowControl w:val="0"/>
        <w:kinsoku/>
        <w:wordWrap/>
        <w:overflowPunct/>
        <w:topLinePunct w:val="0"/>
        <w:autoSpaceDE/>
        <w:autoSpaceDN/>
        <w:bidi w:val="0"/>
        <w:spacing w:line="360" w:lineRule="auto"/>
        <w:ind w:left="540" w:leftChars="257"/>
        <w:textAlignment w:val="auto"/>
        <w:rPr>
          <w:rFonts w:ascii="Times New Roman" w:hAnsi="Times New Roman"/>
          <w:szCs w:val="21"/>
          <w:u w:val="single"/>
        </w:rPr>
      </w:pPr>
      <w:r>
        <w:rPr>
          <w:rFonts w:hint="eastAsia" w:ascii="Times New Roman" w:hAnsi="Times New Roman"/>
          <w:szCs w:val="21"/>
        </w:rPr>
        <w:t>身份证号码：</w:t>
      </w:r>
      <w:r>
        <w:rPr>
          <w:rFonts w:hint="eastAsia" w:ascii="Times New Roman" w:hAnsi="Times New Roman"/>
          <w:szCs w:val="21"/>
          <w:u w:val="single"/>
        </w:rPr>
        <w:t xml:space="preserve">                        </w:t>
      </w:r>
      <w:r>
        <w:rPr>
          <w:rFonts w:hint="eastAsia" w:ascii="Times New Roman" w:hAnsi="Times New Roman"/>
          <w:szCs w:val="21"/>
        </w:rPr>
        <w:t>职务：</w:t>
      </w:r>
      <w:r>
        <w:rPr>
          <w:rFonts w:hint="eastAsia" w:ascii="Times New Roman" w:hAnsi="Times New Roman"/>
          <w:szCs w:val="21"/>
          <w:u w:val="single"/>
        </w:rPr>
        <w:t xml:space="preserve">       </w:t>
      </w:r>
    </w:p>
    <w:p w14:paraId="4B7EAE92">
      <w:pPr>
        <w:keepNext w:val="0"/>
        <w:keepLines w:val="0"/>
        <w:pageBreakBefore w:val="0"/>
        <w:widowControl w:val="0"/>
        <w:kinsoku/>
        <w:wordWrap/>
        <w:overflowPunct/>
        <w:topLinePunct w:val="0"/>
        <w:autoSpaceDE/>
        <w:autoSpaceDN/>
        <w:bidi w:val="0"/>
        <w:spacing w:line="360" w:lineRule="auto"/>
        <w:ind w:left="540" w:leftChars="257"/>
        <w:textAlignment w:val="auto"/>
        <w:rPr>
          <w:rFonts w:ascii="Times New Roman" w:hAnsi="Times New Roman"/>
          <w:szCs w:val="21"/>
        </w:rPr>
      </w:pPr>
      <w:r>
        <w:rPr>
          <w:rFonts w:hint="eastAsia" w:ascii="Times New Roman" w:hAnsi="Times New Roman"/>
          <w:szCs w:val="21"/>
        </w:rPr>
        <w:t>授权委托日期：</w:t>
      </w:r>
      <w:r>
        <w:rPr>
          <w:rFonts w:hint="eastAsia" w:ascii="Times New Roman" w:hAnsi="Times New Roman"/>
          <w:szCs w:val="21"/>
          <w:u w:val="single"/>
        </w:rPr>
        <w:t xml:space="preserve">         </w:t>
      </w:r>
      <w:r>
        <w:rPr>
          <w:rFonts w:hint="eastAsia" w:ascii="Times New Roman" w:hAnsi="Times New Roman"/>
          <w:szCs w:val="21"/>
        </w:rPr>
        <w:t>年</w:t>
      </w:r>
      <w:r>
        <w:rPr>
          <w:rFonts w:hint="eastAsia" w:ascii="Times New Roman" w:hAnsi="Times New Roman"/>
          <w:szCs w:val="21"/>
          <w:u w:val="single"/>
        </w:rPr>
        <w:t xml:space="preserve">     </w:t>
      </w:r>
      <w:r>
        <w:rPr>
          <w:rFonts w:hint="eastAsia" w:ascii="Times New Roman" w:hAnsi="Times New Roman"/>
          <w:szCs w:val="21"/>
        </w:rPr>
        <w:t xml:space="preserve">月 </w:t>
      </w:r>
      <w:r>
        <w:rPr>
          <w:rFonts w:hint="eastAsia" w:ascii="Times New Roman" w:hAnsi="Times New Roman"/>
          <w:szCs w:val="21"/>
          <w:u w:val="single"/>
        </w:rPr>
        <w:t xml:space="preserve">      </w:t>
      </w:r>
      <w:r>
        <w:rPr>
          <w:rFonts w:hint="eastAsia" w:ascii="Times New Roman" w:hAnsi="Times New Roman"/>
          <w:szCs w:val="21"/>
        </w:rPr>
        <w:t>日</w:t>
      </w:r>
    </w:p>
    <w:p w14:paraId="309A224E">
      <w:pPr>
        <w:keepNext w:val="0"/>
        <w:keepLines w:val="0"/>
        <w:pageBreakBefore w:val="0"/>
        <w:widowControl w:val="0"/>
        <w:kinsoku/>
        <w:wordWrap/>
        <w:overflowPunct/>
        <w:topLinePunct w:val="0"/>
        <w:autoSpaceDE/>
        <w:autoSpaceDN/>
        <w:bidi w:val="0"/>
        <w:spacing w:line="360" w:lineRule="auto"/>
        <w:ind w:left="540" w:leftChars="257"/>
        <w:textAlignment w:val="auto"/>
        <w:rPr>
          <w:rFonts w:ascii="Times New Roman" w:hAnsi="Times New Roman"/>
          <w:szCs w:val="21"/>
          <w:u w:val="single"/>
        </w:rPr>
      </w:pPr>
    </w:p>
    <w:p w14:paraId="35C9A3ED">
      <w:pPr>
        <w:keepNext w:val="0"/>
        <w:keepLines w:val="0"/>
        <w:pageBreakBefore w:val="0"/>
        <w:widowControl w:val="0"/>
        <w:kinsoku/>
        <w:wordWrap/>
        <w:overflowPunct/>
        <w:topLinePunct w:val="0"/>
        <w:autoSpaceDE/>
        <w:autoSpaceDN/>
        <w:bidi w:val="0"/>
        <w:spacing w:line="360" w:lineRule="auto"/>
        <w:textAlignment w:val="auto"/>
        <w:rPr>
          <w:rFonts w:ascii="Times New Roman" w:hAnsi="Times New Roman"/>
          <w:b/>
          <w:sz w:val="24"/>
          <w:szCs w:val="24"/>
        </w:rPr>
      </w:pPr>
      <w:r>
        <w:rPr>
          <w:rFonts w:hint="eastAsia" w:ascii="Times New Roman" w:hAnsi="Times New Roman"/>
          <w:b/>
          <w:sz w:val="24"/>
          <w:szCs w:val="24"/>
        </w:rPr>
        <w:t>附：要求必须提供代理人身份证扫描件（正反两面）。</w:t>
      </w:r>
    </w:p>
    <w:p w14:paraId="6FB250FF">
      <w:pPr>
        <w:keepNext w:val="0"/>
        <w:keepLines w:val="0"/>
        <w:pageBreakBefore w:val="0"/>
        <w:widowControl w:val="0"/>
        <w:kinsoku/>
        <w:wordWrap/>
        <w:overflowPunct/>
        <w:topLinePunct w:val="0"/>
        <w:autoSpaceDE/>
        <w:autoSpaceDN/>
        <w:bidi w:val="0"/>
        <w:textAlignment w:val="auto"/>
        <w:rPr>
          <w:szCs w:val="21"/>
          <w:u w:val="single"/>
        </w:rPr>
      </w:pPr>
    </w:p>
    <w:p w14:paraId="6F06173D">
      <w:pPr>
        <w:keepNext w:val="0"/>
        <w:keepLines w:val="0"/>
        <w:pageBreakBefore w:val="0"/>
        <w:widowControl w:val="0"/>
        <w:kinsoku/>
        <w:wordWrap/>
        <w:overflowPunct/>
        <w:topLinePunct w:val="0"/>
        <w:autoSpaceDE/>
        <w:autoSpaceDN/>
        <w:bidi w:val="0"/>
        <w:textAlignment w:val="auto"/>
        <w:rPr>
          <w:rFonts w:ascii="宋体" w:hAnsi="宋体"/>
          <w:szCs w:val="21"/>
        </w:rPr>
      </w:pPr>
      <w:r>
        <w:rPr>
          <w:rFonts w:hint="eastAsia"/>
          <w:szCs w:val="21"/>
          <w:u w:val="single"/>
        </w:rPr>
        <w:t>（备注：如联合体投标，投标供应商名称一栏仅需填写牵头人的名称）</w:t>
      </w:r>
    </w:p>
    <w:p w14:paraId="20C8FFB0">
      <w:pPr>
        <w:keepNext w:val="0"/>
        <w:keepLines w:val="0"/>
        <w:pageBreakBefore w:val="0"/>
        <w:widowControl w:val="0"/>
        <w:kinsoku/>
        <w:wordWrap/>
        <w:overflowPunct/>
        <w:topLinePunct w:val="0"/>
        <w:autoSpaceDE/>
        <w:autoSpaceDN/>
        <w:bidi w:val="0"/>
        <w:spacing w:line="360" w:lineRule="auto"/>
        <w:textAlignment w:val="auto"/>
        <w:rPr>
          <w:rFonts w:ascii="黑体" w:eastAsia="黑体"/>
          <w:b/>
          <w:sz w:val="24"/>
        </w:rPr>
      </w:pPr>
    </w:p>
    <w:p w14:paraId="5F363D62">
      <w:pPr>
        <w:keepNext w:val="0"/>
        <w:keepLines w:val="0"/>
        <w:pageBreakBefore w:val="0"/>
        <w:widowControl w:val="0"/>
        <w:kinsoku/>
        <w:wordWrap/>
        <w:overflowPunct/>
        <w:topLinePunct w:val="0"/>
        <w:autoSpaceDE/>
        <w:autoSpaceDN/>
        <w:bidi w:val="0"/>
        <w:spacing w:before="260" w:after="260"/>
        <w:jc w:val="center"/>
        <w:textAlignment w:val="auto"/>
        <w:outlineLvl w:val="2"/>
        <w:rPr>
          <w:rFonts w:ascii="黑体" w:hAnsi="宋体" w:eastAsia="黑体"/>
          <w:bCs/>
          <w:kern w:val="0"/>
          <w:sz w:val="24"/>
          <w:szCs w:val="24"/>
        </w:rPr>
      </w:pPr>
      <w:r>
        <w:rPr>
          <w:rFonts w:hint="eastAsia" w:ascii="黑体" w:hAnsi="宋体" w:eastAsia="黑体"/>
          <w:bCs/>
          <w:kern w:val="0"/>
          <w:sz w:val="24"/>
          <w:szCs w:val="24"/>
        </w:rPr>
        <w:t>八、实质性条款响应情况表</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253"/>
        <w:gridCol w:w="1222"/>
      </w:tblGrid>
      <w:tr w14:paraId="4E72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35FDDF5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kern w:val="0"/>
                <w:szCs w:val="21"/>
              </w:rPr>
            </w:pPr>
            <w:r>
              <w:rPr>
                <w:rFonts w:hint="eastAsia" w:ascii="宋体" w:hAnsi="宋体"/>
                <w:kern w:val="0"/>
                <w:szCs w:val="21"/>
              </w:rPr>
              <w:t>序号</w:t>
            </w:r>
          </w:p>
        </w:tc>
        <w:tc>
          <w:tcPr>
            <w:tcW w:w="7253" w:type="dxa"/>
          </w:tcPr>
          <w:p w14:paraId="17320D1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kern w:val="0"/>
                <w:szCs w:val="21"/>
              </w:rPr>
            </w:pPr>
            <w:r>
              <w:rPr>
                <w:rFonts w:hint="eastAsia" w:ascii="宋体" w:hAnsi="宋体"/>
                <w:kern w:val="0"/>
                <w:szCs w:val="21"/>
              </w:rPr>
              <w:t>采购人要求内容</w:t>
            </w:r>
          </w:p>
        </w:tc>
        <w:tc>
          <w:tcPr>
            <w:tcW w:w="1222" w:type="dxa"/>
          </w:tcPr>
          <w:p w14:paraId="1DA6A0B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kern w:val="0"/>
                <w:szCs w:val="21"/>
              </w:rPr>
            </w:pPr>
            <w:r>
              <w:rPr>
                <w:rFonts w:hint="eastAsia" w:ascii="宋体" w:hAnsi="宋体"/>
                <w:kern w:val="0"/>
                <w:szCs w:val="21"/>
              </w:rPr>
              <w:t>投标人响应情况</w:t>
            </w:r>
          </w:p>
        </w:tc>
      </w:tr>
      <w:tr w14:paraId="4409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4DD74F3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kern w:val="0"/>
                <w:szCs w:val="21"/>
              </w:rPr>
            </w:pPr>
            <w:r>
              <w:rPr>
                <w:rFonts w:hint="eastAsia" w:ascii="宋体" w:hAnsi="宋体"/>
                <w:kern w:val="0"/>
                <w:szCs w:val="21"/>
              </w:rPr>
              <w:t>1</w:t>
            </w:r>
          </w:p>
        </w:tc>
        <w:tc>
          <w:tcPr>
            <w:tcW w:w="7253" w:type="dxa"/>
            <w:vAlign w:val="center"/>
          </w:tcPr>
          <w:p w14:paraId="5A837DBF">
            <w:pPr>
              <w:adjustRightInd w:val="0"/>
              <w:snapToGrid w:val="0"/>
              <w:spacing w:line="360" w:lineRule="auto"/>
              <w:jc w:val="left"/>
              <w:rPr>
                <w:rFonts w:ascii="Times New Roman" w:hAnsi="宋体"/>
                <w:kern w:val="0"/>
                <w:szCs w:val="21"/>
              </w:rPr>
            </w:pPr>
            <w:r>
              <w:rPr>
                <w:rFonts w:hint="eastAsia" w:hAnsi="宋体"/>
                <w:kern w:val="0"/>
                <w:szCs w:val="21"/>
                <w:lang w:eastAsia="zh-CN"/>
              </w:rPr>
              <w:t>中标单位需在采购单位要求时间内完成所有工作，并通过采购单位的组织验收，撤场的具体时间由采购单位确定。</w:t>
            </w:r>
          </w:p>
        </w:tc>
        <w:tc>
          <w:tcPr>
            <w:tcW w:w="1222" w:type="dxa"/>
          </w:tcPr>
          <w:p w14:paraId="4404518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kern w:val="0"/>
                <w:szCs w:val="21"/>
              </w:rPr>
            </w:pPr>
          </w:p>
        </w:tc>
      </w:tr>
      <w:tr w14:paraId="7611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B46596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kern w:val="0"/>
                <w:szCs w:val="21"/>
              </w:rPr>
            </w:pPr>
            <w:r>
              <w:rPr>
                <w:rFonts w:hint="eastAsia" w:ascii="宋体" w:hAnsi="宋体"/>
                <w:kern w:val="0"/>
                <w:szCs w:val="21"/>
              </w:rPr>
              <w:t>2</w:t>
            </w:r>
          </w:p>
        </w:tc>
        <w:tc>
          <w:tcPr>
            <w:tcW w:w="7253" w:type="dxa"/>
            <w:vAlign w:val="center"/>
          </w:tcPr>
          <w:p w14:paraId="3385DFA1">
            <w:pPr>
              <w:adjustRightInd w:val="0"/>
              <w:snapToGrid w:val="0"/>
              <w:spacing w:line="360" w:lineRule="auto"/>
              <w:jc w:val="left"/>
              <w:rPr>
                <w:rFonts w:ascii="Times New Roman" w:hAnsi="宋体"/>
                <w:kern w:val="0"/>
                <w:szCs w:val="21"/>
              </w:rPr>
            </w:pPr>
            <w:r>
              <w:rPr>
                <w:rFonts w:hint="eastAsia" w:ascii="Times New Roman" w:hAnsi="宋体"/>
                <w:kern w:val="0"/>
                <w:szCs w:val="21"/>
              </w:rPr>
              <w:t>自合同签订之日</w:t>
            </w:r>
            <w:r>
              <w:rPr>
                <w:rFonts w:hint="eastAsia" w:ascii="Times New Roman" w:hAnsi="宋体"/>
                <w:kern w:val="0"/>
                <w:szCs w:val="21"/>
                <w:highlight w:val="none"/>
              </w:rPr>
              <w:t>起</w:t>
            </w:r>
            <w:r>
              <w:rPr>
                <w:rFonts w:hint="eastAsia" w:ascii="Times New Roman" w:hAnsi="宋体"/>
                <w:kern w:val="0"/>
                <w:szCs w:val="21"/>
                <w:highlight w:val="none"/>
                <w:lang w:eastAsia="zh-CN"/>
              </w:rPr>
              <w:t>至</w:t>
            </w:r>
            <w:r>
              <w:rPr>
                <w:rFonts w:hint="eastAsia" w:ascii="宋体" w:hAnsi="宋体" w:eastAsia="宋体" w:cs="宋体"/>
                <w:b w:val="0"/>
                <w:bCs w:val="0"/>
                <w:sz w:val="21"/>
                <w:szCs w:val="21"/>
                <w:highlight w:val="none"/>
              </w:rPr>
              <w:t>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日</w:t>
            </w:r>
            <w:r>
              <w:rPr>
                <w:rFonts w:hint="eastAsia" w:ascii="Times New Roman" w:hAnsi="宋体"/>
                <w:kern w:val="0"/>
                <w:szCs w:val="21"/>
                <w:highlight w:val="none"/>
                <w:lang w:eastAsia="zh-CN"/>
              </w:rPr>
              <w:t>履行完</w:t>
            </w:r>
            <w:r>
              <w:rPr>
                <w:rFonts w:hint="eastAsia" w:ascii="Times New Roman" w:hAnsi="宋体"/>
                <w:kern w:val="0"/>
                <w:szCs w:val="21"/>
                <w:lang w:eastAsia="zh-CN"/>
              </w:rPr>
              <w:t>毕。</w:t>
            </w:r>
          </w:p>
        </w:tc>
        <w:tc>
          <w:tcPr>
            <w:tcW w:w="1222" w:type="dxa"/>
          </w:tcPr>
          <w:p w14:paraId="749E78E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kern w:val="0"/>
                <w:szCs w:val="21"/>
              </w:rPr>
            </w:pPr>
          </w:p>
        </w:tc>
      </w:tr>
      <w:tr w14:paraId="3454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28B8B14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kern w:val="0"/>
                <w:szCs w:val="21"/>
                <w:lang w:eastAsia="zh-CN"/>
              </w:rPr>
            </w:pPr>
            <w:r>
              <w:rPr>
                <w:rFonts w:hint="eastAsia" w:ascii="宋体" w:hAnsi="宋体"/>
                <w:kern w:val="0"/>
                <w:szCs w:val="21"/>
                <w:lang w:val="en-US" w:eastAsia="zh-CN"/>
              </w:rPr>
              <w:t>3</w:t>
            </w:r>
          </w:p>
        </w:tc>
        <w:tc>
          <w:tcPr>
            <w:tcW w:w="7253" w:type="dxa"/>
            <w:vAlign w:val="center"/>
          </w:tcPr>
          <w:p w14:paraId="2FEA7327">
            <w:pPr>
              <w:adjustRightInd w:val="0"/>
              <w:snapToGrid w:val="0"/>
              <w:spacing w:line="360" w:lineRule="auto"/>
              <w:jc w:val="left"/>
              <w:rPr>
                <w:rFonts w:ascii="宋体" w:hAnsi="宋体"/>
                <w:kern w:val="0"/>
                <w:szCs w:val="21"/>
              </w:rPr>
            </w:pPr>
            <w:r>
              <w:rPr>
                <w:rFonts w:hint="eastAsia" w:ascii="Times New Roman" w:hAnsi="宋体"/>
                <w:kern w:val="0"/>
                <w:szCs w:val="21"/>
              </w:rPr>
              <w:t>投标供应商须提供法定代表人（负责人）和项目投标授权代表人在开标日前近一个月的个人社保缴纳查询记录（不限定缴纳单位）；因主管部门原因近一个月的社保证明暂时无法提供的，可往前顺延一个月；无社保缴纳记录或无法提供的需提供相关说明（格式自拟）。未按要求提供材料或投标供应商之间存在法定代表人（负责人）、项目投标授权代表人为同一人、属同一单位或者在同一单位缴纳社保的，按投标无效处理。</w:t>
            </w:r>
          </w:p>
        </w:tc>
        <w:tc>
          <w:tcPr>
            <w:tcW w:w="1222" w:type="dxa"/>
          </w:tcPr>
          <w:p w14:paraId="0040F7D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kern w:val="0"/>
                <w:szCs w:val="21"/>
              </w:rPr>
            </w:pPr>
          </w:p>
        </w:tc>
      </w:tr>
    </w:tbl>
    <w:p w14:paraId="1C0ACC7A">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注：1.“</w:t>
      </w:r>
      <w:r>
        <w:rPr>
          <w:rFonts w:hint="eastAsia" w:ascii="宋体" w:hAnsi="宋体"/>
          <w:kern w:val="0"/>
          <w:szCs w:val="21"/>
        </w:rPr>
        <w:t>采购人要求内容</w:t>
      </w:r>
      <w:r>
        <w:rPr>
          <w:rFonts w:hint="eastAsia" w:asciiTheme="minorEastAsia" w:hAnsiTheme="minorEastAsia" w:eastAsiaTheme="minorEastAsia"/>
          <w:bCs/>
          <w:kern w:val="0"/>
          <w:szCs w:val="21"/>
        </w:rPr>
        <w:t>”为</w:t>
      </w:r>
      <w:r>
        <w:rPr>
          <w:rFonts w:hint="eastAsia" w:asciiTheme="minorEastAsia" w:hAnsiTheme="minorEastAsia" w:eastAsiaTheme="minorEastAsia"/>
          <w:b/>
          <w:bCs/>
          <w:kern w:val="0"/>
          <w:szCs w:val="21"/>
          <w:highlight w:val="yellow"/>
        </w:rPr>
        <w:t>“第一册  专用条款/第二章  招标项目需求”</w:t>
      </w:r>
      <w:r>
        <w:rPr>
          <w:rFonts w:hint="eastAsia" w:asciiTheme="minorEastAsia" w:hAnsiTheme="minorEastAsia" w:eastAsiaTheme="minorEastAsia"/>
          <w:bCs/>
          <w:kern w:val="0"/>
          <w:szCs w:val="21"/>
        </w:rPr>
        <w:t>中的不可负偏离的实质性条款，即“实质性条款”。</w:t>
      </w:r>
    </w:p>
    <w:p w14:paraId="5839243D">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2.“投标人响应情况”一栏应如实填写“响应”或“不响应”。</w:t>
      </w:r>
    </w:p>
    <w:p w14:paraId="555D7B3E">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3.“实质性条款响应情况表”与投标文件其它内容冲突的，以“实质性条款响应情况表”为准。</w:t>
      </w:r>
    </w:p>
    <w:p w14:paraId="7AE8DED2">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4.“</w:t>
      </w:r>
      <w:r>
        <w:rPr>
          <w:rFonts w:hint="eastAsia" w:ascii="宋体" w:hAnsi="宋体"/>
          <w:kern w:val="0"/>
          <w:szCs w:val="21"/>
        </w:rPr>
        <w:t>采购人要求内容</w:t>
      </w:r>
      <w:r>
        <w:rPr>
          <w:rFonts w:hint="eastAsia" w:asciiTheme="minorEastAsia" w:hAnsiTheme="minorEastAsia" w:eastAsiaTheme="minorEastAsia"/>
          <w:bCs/>
          <w:kern w:val="0"/>
          <w:szCs w:val="21"/>
        </w:rPr>
        <w:t>”中涉及提供证明材料的，应附在本表后，未提供证明材料或证明材料与响应情况不相符的，按负偏离处理。</w:t>
      </w:r>
    </w:p>
    <w:p w14:paraId="653D788C">
      <w:pPr>
        <w:keepNext w:val="0"/>
        <w:keepLines w:val="0"/>
        <w:pageBreakBefore w:val="0"/>
        <w:widowControl w:val="0"/>
        <w:kinsoku/>
        <w:wordWrap/>
        <w:overflowPunct/>
        <w:topLinePunct w:val="0"/>
        <w:autoSpaceDE/>
        <w:autoSpaceDN/>
        <w:bidi w:val="0"/>
        <w:spacing w:before="260" w:after="260"/>
        <w:jc w:val="center"/>
        <w:textAlignment w:val="auto"/>
        <w:outlineLvl w:val="2"/>
        <w:rPr>
          <w:rFonts w:ascii="黑体" w:hAnsi="宋体" w:eastAsia="黑体"/>
          <w:bCs/>
          <w:kern w:val="0"/>
          <w:sz w:val="24"/>
          <w:szCs w:val="24"/>
        </w:rPr>
      </w:pPr>
      <w:r>
        <w:rPr>
          <w:rFonts w:hint="eastAsia" w:ascii="黑体" w:hAnsi="宋体" w:eastAsia="黑体"/>
          <w:bCs/>
          <w:kern w:val="0"/>
          <w:sz w:val="24"/>
          <w:szCs w:val="24"/>
        </w:rPr>
        <w:t>九、详细分项报价清单</w:t>
      </w:r>
    </w:p>
    <w:tbl>
      <w:tblPr>
        <w:tblStyle w:val="42"/>
        <w:tblW w:w="94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15"/>
        <w:gridCol w:w="3015"/>
        <w:gridCol w:w="660"/>
        <w:gridCol w:w="660"/>
        <w:gridCol w:w="1476"/>
        <w:gridCol w:w="1476"/>
      </w:tblGrid>
      <w:tr w14:paraId="1DB6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452D6E0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1515" w:type="dxa"/>
            <w:noWrap/>
            <w:vAlign w:val="center"/>
          </w:tcPr>
          <w:p w14:paraId="4B8A4906">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分项名称</w:t>
            </w:r>
          </w:p>
        </w:tc>
        <w:tc>
          <w:tcPr>
            <w:tcW w:w="3015" w:type="dxa"/>
            <w:noWrap/>
            <w:vAlign w:val="center"/>
          </w:tcPr>
          <w:p w14:paraId="1DC8D9F6">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简要描述</w:t>
            </w:r>
          </w:p>
        </w:tc>
        <w:tc>
          <w:tcPr>
            <w:tcW w:w="660" w:type="dxa"/>
            <w:noWrap/>
            <w:vAlign w:val="center"/>
          </w:tcPr>
          <w:p w14:paraId="7CA9376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数量</w:t>
            </w:r>
          </w:p>
        </w:tc>
        <w:tc>
          <w:tcPr>
            <w:tcW w:w="660" w:type="dxa"/>
            <w:noWrap/>
            <w:vAlign w:val="center"/>
          </w:tcPr>
          <w:p w14:paraId="0741B700">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单位</w:t>
            </w:r>
          </w:p>
        </w:tc>
        <w:tc>
          <w:tcPr>
            <w:tcW w:w="1476" w:type="dxa"/>
            <w:noWrap/>
            <w:vAlign w:val="center"/>
          </w:tcPr>
          <w:p w14:paraId="1CAD5FAF">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分项报价</w:t>
            </w:r>
          </w:p>
          <w:p w14:paraId="1C31512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w:t>
            </w:r>
            <w:r>
              <w:rPr>
                <w:rFonts w:hint="eastAsia" w:ascii="宋体" w:hAnsi="宋体" w:cs="宋体"/>
                <w:b w:val="0"/>
                <w:bCs w:val="0"/>
                <w:sz w:val="21"/>
                <w:szCs w:val="21"/>
                <w:lang w:val="en-US" w:eastAsia="zh-CN"/>
              </w:rPr>
              <w:t>人民币</w:t>
            </w:r>
            <w:r>
              <w:rPr>
                <w:rFonts w:hint="eastAsia" w:ascii="宋体" w:hAnsi="宋体" w:eastAsia="宋体" w:cs="宋体"/>
                <w:b w:val="0"/>
                <w:bCs w:val="0"/>
                <w:sz w:val="21"/>
                <w:szCs w:val="21"/>
              </w:rPr>
              <w:t>元）</w:t>
            </w:r>
          </w:p>
        </w:tc>
        <w:tc>
          <w:tcPr>
            <w:tcW w:w="1476" w:type="dxa"/>
            <w:noWrap/>
            <w:vAlign w:val="center"/>
          </w:tcPr>
          <w:p w14:paraId="07870A2B">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分项限额</w:t>
            </w:r>
          </w:p>
          <w:p w14:paraId="717B590D">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w:t>
            </w:r>
            <w:r>
              <w:rPr>
                <w:rFonts w:hint="eastAsia" w:ascii="宋体" w:hAnsi="宋体" w:cs="宋体"/>
                <w:b w:val="0"/>
                <w:bCs w:val="0"/>
                <w:sz w:val="21"/>
                <w:szCs w:val="21"/>
                <w:lang w:val="en-US" w:eastAsia="zh-CN"/>
              </w:rPr>
              <w:t>人民币</w:t>
            </w:r>
            <w:r>
              <w:rPr>
                <w:rFonts w:hint="eastAsia" w:ascii="宋体" w:hAnsi="宋体" w:eastAsia="宋体" w:cs="宋体"/>
                <w:b w:val="0"/>
                <w:bCs w:val="0"/>
                <w:sz w:val="21"/>
                <w:szCs w:val="21"/>
              </w:rPr>
              <w:t>元）</w:t>
            </w:r>
          </w:p>
        </w:tc>
      </w:tr>
      <w:tr w14:paraId="58D6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71" w:type="dxa"/>
            <w:noWrap/>
            <w:vAlign w:val="center"/>
          </w:tcPr>
          <w:p w14:paraId="55E0649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515" w:type="dxa"/>
            <w:noWrap/>
            <w:vAlign w:val="center"/>
          </w:tcPr>
          <w:p w14:paraId="5F24F6ED">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策划服务</w:t>
            </w:r>
          </w:p>
        </w:tc>
        <w:tc>
          <w:tcPr>
            <w:tcW w:w="3015" w:type="dxa"/>
            <w:noWrap/>
            <w:vAlign w:val="center"/>
          </w:tcPr>
          <w:p w14:paraId="4D2EEC67">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编制策划方案并提供相关服务</w:t>
            </w:r>
          </w:p>
        </w:tc>
        <w:tc>
          <w:tcPr>
            <w:tcW w:w="660" w:type="dxa"/>
            <w:noWrap/>
            <w:vAlign w:val="center"/>
          </w:tcPr>
          <w:p w14:paraId="5118CECA">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660" w:type="dxa"/>
            <w:noWrap/>
            <w:vAlign w:val="center"/>
          </w:tcPr>
          <w:p w14:paraId="7F470AD0">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项</w:t>
            </w:r>
          </w:p>
        </w:tc>
        <w:tc>
          <w:tcPr>
            <w:tcW w:w="1476" w:type="dxa"/>
            <w:noWrap/>
            <w:vAlign w:val="center"/>
          </w:tcPr>
          <w:p w14:paraId="606705BF">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5CE88C76">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eastAsia" w:ascii="宋体" w:hAnsi="宋体" w:cs="宋体"/>
                <w:b w:val="0"/>
                <w:bCs w:val="0"/>
                <w:sz w:val="21"/>
                <w:szCs w:val="21"/>
                <w:lang w:val="en-US" w:eastAsia="zh-CN"/>
              </w:rPr>
              <w:t>40,000.00</w:t>
            </w:r>
          </w:p>
        </w:tc>
      </w:tr>
      <w:tr w14:paraId="5268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283159C0">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1515" w:type="dxa"/>
            <w:noWrap/>
            <w:vAlign w:val="center"/>
          </w:tcPr>
          <w:p w14:paraId="313336A6">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default" w:ascii="宋体" w:hAnsi="宋体" w:cs="宋体"/>
                <w:b w:val="0"/>
                <w:bCs w:val="0"/>
                <w:sz w:val="21"/>
                <w:szCs w:val="21"/>
                <w:lang w:val="en-US" w:eastAsia="zh-CN"/>
              </w:rPr>
              <w:t>旋</w:t>
            </w:r>
            <w:r>
              <w:rPr>
                <w:rFonts w:hint="eastAsia" w:ascii="宋体" w:hAnsi="宋体" w:eastAsia="宋体" w:cs="宋体"/>
                <w:b w:val="0"/>
                <w:bCs w:val="0"/>
                <w:sz w:val="21"/>
                <w:szCs w:val="21"/>
                <w:lang w:val="en-US" w:eastAsia="zh-CN"/>
              </w:rPr>
              <w:t>栖</w:t>
            </w:r>
          </w:p>
        </w:tc>
        <w:tc>
          <w:tcPr>
            <w:tcW w:w="3015" w:type="dxa"/>
            <w:vMerge w:val="restart"/>
            <w:noWrap/>
            <w:vAlign w:val="center"/>
          </w:tcPr>
          <w:p w14:paraId="66EA3DDB">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负责光影作品设计制作运输布置拆除等相关服务</w:t>
            </w:r>
          </w:p>
        </w:tc>
        <w:tc>
          <w:tcPr>
            <w:tcW w:w="660" w:type="dxa"/>
            <w:noWrap/>
            <w:vAlign w:val="center"/>
          </w:tcPr>
          <w:p w14:paraId="2C11CF8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1</w:t>
            </w:r>
          </w:p>
        </w:tc>
        <w:tc>
          <w:tcPr>
            <w:tcW w:w="660" w:type="dxa"/>
            <w:noWrap/>
            <w:vAlign w:val="center"/>
          </w:tcPr>
          <w:p w14:paraId="1828A0B7">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组</w:t>
            </w:r>
          </w:p>
        </w:tc>
        <w:tc>
          <w:tcPr>
            <w:tcW w:w="1476" w:type="dxa"/>
            <w:noWrap/>
            <w:vAlign w:val="center"/>
          </w:tcPr>
          <w:p w14:paraId="5456BEF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70350AD6">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kern w:val="2"/>
                <w:sz w:val="21"/>
                <w:szCs w:val="21"/>
                <w:lang w:val="en-US" w:eastAsia="zh-CN" w:bidi="ar-SA"/>
              </w:rPr>
            </w:pPr>
            <w:r>
              <w:rPr>
                <w:rFonts w:hint="default" w:ascii="宋体" w:hAnsi="宋体" w:cs="宋体"/>
                <w:b w:val="0"/>
                <w:bCs w:val="0"/>
                <w:sz w:val="21"/>
                <w:szCs w:val="21"/>
                <w:lang w:val="en-US" w:eastAsia="zh-CN"/>
              </w:rPr>
              <w:t>59</w:t>
            </w:r>
            <w:r>
              <w:rPr>
                <w:rFonts w:hint="eastAsia" w:ascii="宋体" w:hAnsi="宋体" w:cs="宋体"/>
                <w:b w:val="0"/>
                <w:bCs w:val="0"/>
                <w:sz w:val="21"/>
                <w:szCs w:val="21"/>
                <w:lang w:val="en-US" w:eastAsia="zh-CN"/>
              </w:rPr>
              <w:t>0,000.00</w:t>
            </w:r>
          </w:p>
        </w:tc>
      </w:tr>
      <w:tr w14:paraId="60A0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2A1C97AD">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p>
        </w:tc>
        <w:tc>
          <w:tcPr>
            <w:tcW w:w="1515" w:type="dxa"/>
            <w:noWrap/>
            <w:vAlign w:val="center"/>
          </w:tcPr>
          <w:p w14:paraId="08F2605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BOB</w:t>
            </w:r>
          </w:p>
        </w:tc>
        <w:tc>
          <w:tcPr>
            <w:tcW w:w="3015" w:type="dxa"/>
            <w:vMerge w:val="continue"/>
            <w:noWrap/>
            <w:vAlign w:val="center"/>
          </w:tcPr>
          <w:p w14:paraId="36B73D73">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660" w:type="dxa"/>
            <w:noWrap/>
            <w:vAlign w:val="center"/>
          </w:tcPr>
          <w:p w14:paraId="2C58A8BE">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1</w:t>
            </w:r>
          </w:p>
        </w:tc>
        <w:tc>
          <w:tcPr>
            <w:tcW w:w="660" w:type="dxa"/>
            <w:noWrap/>
            <w:vAlign w:val="center"/>
          </w:tcPr>
          <w:p w14:paraId="0DEBD0F1">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组</w:t>
            </w:r>
          </w:p>
        </w:tc>
        <w:tc>
          <w:tcPr>
            <w:tcW w:w="1476" w:type="dxa"/>
            <w:noWrap/>
            <w:vAlign w:val="center"/>
          </w:tcPr>
          <w:p w14:paraId="3F4299D1">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32725914">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kern w:val="2"/>
                <w:sz w:val="21"/>
                <w:szCs w:val="21"/>
                <w:lang w:val="en-US" w:eastAsia="zh-CN" w:bidi="ar-SA"/>
              </w:rPr>
            </w:pPr>
            <w:r>
              <w:rPr>
                <w:rFonts w:hint="default" w:ascii="宋体" w:hAnsi="宋体" w:cs="宋体"/>
                <w:b w:val="0"/>
                <w:bCs w:val="0"/>
                <w:sz w:val="21"/>
                <w:szCs w:val="21"/>
                <w:lang w:val="en-US" w:eastAsia="zh-CN"/>
              </w:rPr>
              <w:t>2</w:t>
            </w:r>
            <w:r>
              <w:rPr>
                <w:rFonts w:hint="eastAsia" w:ascii="宋体" w:hAnsi="宋体" w:cs="宋体"/>
                <w:b w:val="0"/>
                <w:bCs w:val="0"/>
                <w:sz w:val="21"/>
                <w:szCs w:val="21"/>
                <w:lang w:val="en-US" w:eastAsia="zh-CN"/>
              </w:rPr>
              <w:t>70,000.00</w:t>
            </w:r>
          </w:p>
        </w:tc>
      </w:tr>
      <w:tr w14:paraId="1AAB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noWrap/>
            <w:vAlign w:val="center"/>
          </w:tcPr>
          <w:p w14:paraId="257CA9C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w:t>
            </w:r>
          </w:p>
        </w:tc>
        <w:tc>
          <w:tcPr>
            <w:tcW w:w="1515" w:type="dxa"/>
            <w:noWrap/>
            <w:vAlign w:val="center"/>
          </w:tcPr>
          <w:p w14:paraId="4F9C474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缓存池</w:t>
            </w:r>
          </w:p>
        </w:tc>
        <w:tc>
          <w:tcPr>
            <w:tcW w:w="3015" w:type="dxa"/>
            <w:vMerge w:val="continue"/>
            <w:noWrap/>
            <w:vAlign w:val="center"/>
          </w:tcPr>
          <w:p w14:paraId="2DD3439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660" w:type="dxa"/>
            <w:noWrap/>
            <w:vAlign w:val="center"/>
          </w:tcPr>
          <w:p w14:paraId="11B122C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1</w:t>
            </w:r>
          </w:p>
        </w:tc>
        <w:tc>
          <w:tcPr>
            <w:tcW w:w="660" w:type="dxa"/>
            <w:noWrap/>
            <w:vAlign w:val="center"/>
          </w:tcPr>
          <w:p w14:paraId="3F752A34">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组</w:t>
            </w:r>
          </w:p>
        </w:tc>
        <w:tc>
          <w:tcPr>
            <w:tcW w:w="1476" w:type="dxa"/>
            <w:noWrap/>
            <w:vAlign w:val="center"/>
          </w:tcPr>
          <w:p w14:paraId="709031F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70848D90">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195,000.00</w:t>
            </w:r>
          </w:p>
        </w:tc>
      </w:tr>
      <w:tr w14:paraId="4F0C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15A0296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5</w:t>
            </w:r>
          </w:p>
        </w:tc>
        <w:tc>
          <w:tcPr>
            <w:tcW w:w="1515" w:type="dxa"/>
            <w:noWrap/>
            <w:vAlign w:val="center"/>
          </w:tcPr>
          <w:p w14:paraId="0A726114">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立式标识装置</w:t>
            </w:r>
          </w:p>
        </w:tc>
        <w:tc>
          <w:tcPr>
            <w:tcW w:w="3015" w:type="dxa"/>
            <w:noWrap/>
            <w:vAlign w:val="center"/>
          </w:tcPr>
          <w:p w14:paraId="334C0A33">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制作并布置作品介绍立式装置</w:t>
            </w:r>
          </w:p>
        </w:tc>
        <w:tc>
          <w:tcPr>
            <w:tcW w:w="660" w:type="dxa"/>
            <w:noWrap/>
            <w:vAlign w:val="center"/>
          </w:tcPr>
          <w:p w14:paraId="63876F8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5</w:t>
            </w:r>
          </w:p>
        </w:tc>
        <w:tc>
          <w:tcPr>
            <w:tcW w:w="660" w:type="dxa"/>
            <w:noWrap/>
            <w:vAlign w:val="center"/>
          </w:tcPr>
          <w:p w14:paraId="202375CE">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件</w:t>
            </w:r>
          </w:p>
        </w:tc>
        <w:tc>
          <w:tcPr>
            <w:tcW w:w="1476" w:type="dxa"/>
            <w:noWrap/>
            <w:vAlign w:val="center"/>
          </w:tcPr>
          <w:p w14:paraId="4A9C5247">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309A7577">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eastAsia" w:ascii="宋体" w:hAnsi="宋体" w:cs="宋体"/>
                <w:b w:val="0"/>
                <w:bCs w:val="0"/>
                <w:sz w:val="21"/>
                <w:szCs w:val="21"/>
                <w:lang w:val="en-US" w:eastAsia="zh-CN"/>
              </w:rPr>
              <w:t>25,000.00</w:t>
            </w:r>
          </w:p>
        </w:tc>
      </w:tr>
      <w:tr w14:paraId="57CF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7D522AC4">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6</w:t>
            </w:r>
          </w:p>
        </w:tc>
        <w:tc>
          <w:tcPr>
            <w:tcW w:w="1515" w:type="dxa"/>
            <w:noWrap/>
            <w:vAlign w:val="center"/>
          </w:tcPr>
          <w:p w14:paraId="59E86FA2">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人员运维</w:t>
            </w:r>
          </w:p>
        </w:tc>
        <w:tc>
          <w:tcPr>
            <w:tcW w:w="3015" w:type="dxa"/>
            <w:noWrap/>
            <w:vAlign w:val="top"/>
          </w:tcPr>
          <w:p w14:paraId="0B27D74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vertAlign w:val="baseline"/>
                <w:lang w:val="en-US" w:eastAsia="zh-CN"/>
              </w:rPr>
              <w:t>2024.12.18-2025.2.16期间需安排</w:t>
            </w:r>
            <w:r>
              <w:rPr>
                <w:rFonts w:hint="default" w:ascii="宋体" w:hAnsi="宋体" w:cs="宋体"/>
                <w:sz w:val="21"/>
                <w:szCs w:val="21"/>
                <w:vertAlign w:val="baseline"/>
                <w:lang w:val="en-US" w:eastAsia="zh-CN"/>
              </w:rPr>
              <w:t>不少于2</w:t>
            </w:r>
            <w:r>
              <w:rPr>
                <w:rFonts w:hint="eastAsia" w:ascii="宋体" w:hAnsi="宋体" w:eastAsia="宋体" w:cs="宋体"/>
                <w:sz w:val="21"/>
                <w:szCs w:val="21"/>
                <w:vertAlign w:val="baseline"/>
                <w:lang w:val="en-US" w:eastAsia="zh-CN"/>
              </w:rPr>
              <w:t>名具有电工能力的运维人员轮班</w:t>
            </w:r>
            <w:r>
              <w:rPr>
                <w:rFonts w:hint="default" w:ascii="宋体" w:hAnsi="宋体" w:cs="宋体"/>
                <w:sz w:val="21"/>
                <w:szCs w:val="21"/>
                <w:vertAlign w:val="baseline"/>
                <w:lang w:val="en-US" w:eastAsia="zh-CN"/>
              </w:rPr>
              <w:t>运维</w:t>
            </w:r>
          </w:p>
        </w:tc>
        <w:tc>
          <w:tcPr>
            <w:tcW w:w="660" w:type="dxa"/>
            <w:noWrap/>
            <w:vAlign w:val="center"/>
          </w:tcPr>
          <w:p w14:paraId="5571E2A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660" w:type="dxa"/>
            <w:noWrap/>
            <w:vAlign w:val="center"/>
          </w:tcPr>
          <w:p w14:paraId="73F34869">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项</w:t>
            </w:r>
          </w:p>
        </w:tc>
        <w:tc>
          <w:tcPr>
            <w:tcW w:w="1476" w:type="dxa"/>
            <w:noWrap/>
            <w:vAlign w:val="center"/>
          </w:tcPr>
          <w:p w14:paraId="457D07C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621142D2">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default" w:ascii="宋体" w:hAnsi="宋体" w:cs="宋体"/>
                <w:b w:val="0"/>
                <w:bCs w:val="0"/>
                <w:sz w:val="21"/>
                <w:szCs w:val="21"/>
                <w:lang w:val="en-US" w:eastAsia="zh-CN"/>
              </w:rPr>
              <w:t>5</w:t>
            </w:r>
            <w:r>
              <w:rPr>
                <w:rFonts w:hint="eastAsia" w:ascii="宋体" w:hAnsi="宋体" w:cs="宋体"/>
                <w:b w:val="0"/>
                <w:bCs w:val="0"/>
                <w:sz w:val="21"/>
                <w:szCs w:val="21"/>
                <w:lang w:val="en-US" w:eastAsia="zh-CN"/>
              </w:rPr>
              <w:t>0,000.00</w:t>
            </w:r>
          </w:p>
        </w:tc>
      </w:tr>
      <w:tr w14:paraId="4FF4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noWrap/>
            <w:vAlign w:val="center"/>
          </w:tcPr>
          <w:p w14:paraId="44EE1C58">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7</w:t>
            </w:r>
          </w:p>
        </w:tc>
        <w:tc>
          <w:tcPr>
            <w:tcW w:w="1515" w:type="dxa"/>
            <w:noWrap/>
            <w:vAlign w:val="center"/>
          </w:tcPr>
          <w:p w14:paraId="0C80AD63">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光的捉迷藏</w:t>
            </w:r>
          </w:p>
        </w:tc>
        <w:tc>
          <w:tcPr>
            <w:tcW w:w="3015" w:type="dxa"/>
            <w:noWrap/>
            <w:vAlign w:val="top"/>
          </w:tcPr>
          <w:p w14:paraId="63C43F58">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vertAlign w:val="baseline"/>
                <w:lang w:val="en-US" w:eastAsia="zh-CN"/>
              </w:rPr>
              <w:t>组织一场公教活动，利用反光材料及手电筒探寻</w:t>
            </w:r>
            <w:r>
              <w:rPr>
                <w:rFonts w:hint="default" w:ascii="宋体" w:hAnsi="宋体" w:cs="宋体"/>
                <w:sz w:val="21"/>
                <w:szCs w:val="21"/>
                <w:vertAlign w:val="baseline"/>
                <w:lang w:val="en-US" w:eastAsia="zh-CN"/>
              </w:rPr>
              <w:t>光的奥秘</w:t>
            </w:r>
          </w:p>
        </w:tc>
        <w:tc>
          <w:tcPr>
            <w:tcW w:w="660" w:type="dxa"/>
            <w:noWrap/>
            <w:vAlign w:val="center"/>
          </w:tcPr>
          <w:p w14:paraId="577F1898">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1</w:t>
            </w:r>
          </w:p>
        </w:tc>
        <w:tc>
          <w:tcPr>
            <w:tcW w:w="660" w:type="dxa"/>
            <w:noWrap/>
            <w:vAlign w:val="center"/>
          </w:tcPr>
          <w:p w14:paraId="72B01BDF">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eastAsia="zh-CN"/>
              </w:rPr>
              <w:t>场</w:t>
            </w:r>
          </w:p>
        </w:tc>
        <w:tc>
          <w:tcPr>
            <w:tcW w:w="1476" w:type="dxa"/>
            <w:noWrap/>
            <w:vAlign w:val="center"/>
          </w:tcPr>
          <w:p w14:paraId="14037705">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4AD1D60D">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default" w:ascii="宋体" w:hAnsi="宋体" w:cs="宋体"/>
                <w:b w:val="0"/>
                <w:bCs w:val="0"/>
                <w:sz w:val="21"/>
                <w:szCs w:val="21"/>
                <w:lang w:val="en-US" w:eastAsia="zh-CN"/>
              </w:rPr>
              <w:t>9</w:t>
            </w:r>
            <w:r>
              <w:rPr>
                <w:rFonts w:hint="eastAsia" w:ascii="宋体" w:hAnsi="宋体" w:cs="宋体"/>
                <w:b w:val="0"/>
                <w:bCs w:val="0"/>
                <w:sz w:val="21"/>
                <w:szCs w:val="21"/>
                <w:lang w:val="en-US" w:eastAsia="zh-CN"/>
              </w:rPr>
              <w:t>0,000.00</w:t>
            </w:r>
          </w:p>
        </w:tc>
      </w:tr>
      <w:tr w14:paraId="097B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1" w:type="dxa"/>
            <w:gridSpan w:val="5"/>
            <w:noWrap/>
            <w:vAlign w:val="center"/>
          </w:tcPr>
          <w:p w14:paraId="399B6F7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lang w:val="en-US" w:eastAsia="zh-CN"/>
              </w:rPr>
            </w:pPr>
            <w:r>
              <w:rPr>
                <w:rFonts w:hint="eastAsia" w:asciiTheme="minorEastAsia" w:hAnsiTheme="minorEastAsia" w:eastAsiaTheme="minorEastAsia"/>
                <w:bCs/>
                <w:kern w:val="0"/>
                <w:szCs w:val="21"/>
                <w:lang w:val="en-US" w:eastAsia="zh-CN"/>
              </w:rPr>
              <w:t>合计</w:t>
            </w:r>
            <w:r>
              <w:rPr>
                <w:rFonts w:hint="eastAsia" w:asciiTheme="minorEastAsia" w:hAnsiTheme="minorEastAsia" w:eastAsiaTheme="minorEastAsia"/>
                <w:bCs/>
                <w:kern w:val="0"/>
                <w:szCs w:val="21"/>
              </w:rPr>
              <w:t>总价</w:t>
            </w:r>
          </w:p>
        </w:tc>
        <w:tc>
          <w:tcPr>
            <w:tcW w:w="1476" w:type="dxa"/>
            <w:noWrap/>
            <w:vAlign w:val="center"/>
          </w:tcPr>
          <w:p w14:paraId="6F69DFCC">
            <w:pPr>
              <w:keepNext w:val="0"/>
              <w:keepLines w:val="0"/>
              <w:pageBreakBefore w:val="0"/>
              <w:widowControl w:val="0"/>
              <w:kinsoku/>
              <w:overflowPunct/>
              <w:topLinePunct w:val="0"/>
              <w:autoSpaceDE/>
              <w:autoSpaceDN/>
              <w:bidi w:val="0"/>
              <w:spacing w:line="360" w:lineRule="auto"/>
              <w:jc w:val="center"/>
              <w:rPr>
                <w:rFonts w:hint="eastAsia" w:ascii="宋体" w:hAnsi="宋体" w:eastAsia="宋体" w:cs="宋体"/>
                <w:b w:val="0"/>
                <w:bCs w:val="0"/>
                <w:sz w:val="21"/>
                <w:szCs w:val="21"/>
              </w:rPr>
            </w:pPr>
          </w:p>
        </w:tc>
        <w:tc>
          <w:tcPr>
            <w:tcW w:w="1476" w:type="dxa"/>
            <w:noWrap/>
            <w:vAlign w:val="center"/>
          </w:tcPr>
          <w:p w14:paraId="20120371">
            <w:pPr>
              <w:keepNext w:val="0"/>
              <w:keepLines w:val="0"/>
              <w:pageBreakBefore w:val="0"/>
              <w:widowControl w:val="0"/>
              <w:kinsoku/>
              <w:overflowPunct/>
              <w:topLinePunct w:val="0"/>
              <w:autoSpaceDE/>
              <w:autoSpaceDN/>
              <w:bidi w:val="0"/>
              <w:spacing w:line="360" w:lineRule="auto"/>
              <w:jc w:val="center"/>
              <w:rPr>
                <w:rFonts w:hint="default" w:ascii="宋体" w:hAnsi="宋体" w:eastAsia="宋体" w:cs="宋体"/>
                <w:b w:val="0"/>
                <w:bCs w:val="0"/>
                <w:sz w:val="21"/>
                <w:szCs w:val="21"/>
                <w:lang w:val="en-US"/>
              </w:rPr>
            </w:pPr>
            <w:r>
              <w:rPr>
                <w:rFonts w:hint="default" w:ascii="宋体" w:hAnsi="宋体" w:cs="宋体"/>
                <w:b w:val="0"/>
                <w:bCs w:val="0"/>
                <w:sz w:val="21"/>
                <w:szCs w:val="21"/>
                <w:lang w:val="en-US" w:eastAsia="zh-CN"/>
              </w:rPr>
              <w:t>1</w:t>
            </w:r>
            <w:r>
              <w:rPr>
                <w:rFonts w:hint="eastAsia" w:ascii="宋体" w:hAnsi="宋体" w:cs="宋体"/>
                <w:b w:val="0"/>
                <w:bCs w:val="0"/>
                <w:sz w:val="21"/>
                <w:szCs w:val="21"/>
                <w:lang w:val="en-US" w:eastAsia="zh-CN"/>
              </w:rPr>
              <w:t>,260,000.00</w:t>
            </w:r>
          </w:p>
        </w:tc>
      </w:tr>
    </w:tbl>
    <w:p w14:paraId="2E96E796">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注：1、本表格</w:t>
      </w:r>
      <w:r>
        <w:rPr>
          <w:rFonts w:hint="eastAsia" w:asciiTheme="minorEastAsia" w:hAnsiTheme="minorEastAsia" w:eastAsiaTheme="minorEastAsia"/>
          <w:bCs/>
          <w:kern w:val="0"/>
          <w:szCs w:val="21"/>
          <w:lang w:val="en-US" w:eastAsia="zh-CN"/>
        </w:rPr>
        <w:t>格式不可修改调整</w:t>
      </w:r>
      <w:r>
        <w:rPr>
          <w:rFonts w:hint="eastAsia" w:asciiTheme="minorEastAsia" w:hAnsiTheme="minorEastAsia" w:eastAsiaTheme="minorEastAsia"/>
          <w:bCs/>
          <w:kern w:val="0"/>
          <w:szCs w:val="21"/>
        </w:rPr>
        <w:t>，供应商</w:t>
      </w:r>
      <w:r>
        <w:rPr>
          <w:rFonts w:hint="eastAsia" w:asciiTheme="minorEastAsia" w:hAnsiTheme="minorEastAsia" w:eastAsiaTheme="minorEastAsia"/>
          <w:bCs/>
          <w:kern w:val="0"/>
          <w:szCs w:val="21"/>
          <w:lang w:val="en-US" w:eastAsia="zh-CN"/>
        </w:rPr>
        <w:t>需</w:t>
      </w:r>
      <w:r>
        <w:rPr>
          <w:rFonts w:hint="eastAsia" w:asciiTheme="minorEastAsia" w:hAnsiTheme="minorEastAsia" w:eastAsiaTheme="minorEastAsia"/>
          <w:bCs/>
          <w:kern w:val="0"/>
          <w:szCs w:val="21"/>
        </w:rPr>
        <w:t>对各分项内容进行</w:t>
      </w:r>
      <w:r>
        <w:rPr>
          <w:rFonts w:hint="eastAsia" w:asciiTheme="minorEastAsia" w:hAnsiTheme="minorEastAsia" w:eastAsiaTheme="minorEastAsia"/>
          <w:bCs/>
          <w:kern w:val="0"/>
          <w:szCs w:val="21"/>
          <w:lang w:val="en-US" w:eastAsia="zh-CN"/>
        </w:rPr>
        <w:t>报价</w:t>
      </w:r>
      <w:r>
        <w:rPr>
          <w:rFonts w:hint="eastAsia" w:asciiTheme="minorEastAsia" w:hAnsiTheme="minorEastAsia" w:eastAsiaTheme="minorEastAsia"/>
          <w:bCs/>
          <w:kern w:val="0"/>
          <w:szCs w:val="21"/>
        </w:rPr>
        <w:t>。</w:t>
      </w:r>
    </w:p>
    <w:p w14:paraId="53303CA1">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2、投标总价应为以上各分项</w:t>
      </w:r>
      <w:r>
        <w:rPr>
          <w:rFonts w:hint="eastAsia" w:asciiTheme="minorEastAsia" w:hAnsiTheme="minorEastAsia" w:eastAsiaTheme="minorEastAsia"/>
          <w:bCs/>
          <w:kern w:val="0"/>
          <w:szCs w:val="21"/>
          <w:lang w:val="en-US" w:eastAsia="zh-CN"/>
        </w:rPr>
        <w:t>报价</w:t>
      </w:r>
      <w:r>
        <w:rPr>
          <w:rFonts w:hint="eastAsia" w:asciiTheme="minorEastAsia" w:hAnsiTheme="minorEastAsia" w:eastAsiaTheme="minorEastAsia"/>
          <w:bCs/>
          <w:kern w:val="0"/>
          <w:szCs w:val="21"/>
        </w:rPr>
        <w:t>之和。</w:t>
      </w:r>
    </w:p>
    <w:p w14:paraId="06D80865">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3、开标一览表的投标总价必须与以上分项报价清单的</w:t>
      </w:r>
      <w:r>
        <w:rPr>
          <w:rFonts w:hint="eastAsia" w:asciiTheme="minorEastAsia" w:hAnsiTheme="minorEastAsia" w:eastAsiaTheme="minorEastAsia"/>
          <w:bCs/>
          <w:kern w:val="0"/>
          <w:szCs w:val="21"/>
          <w:lang w:val="en-US" w:eastAsia="zh-CN"/>
        </w:rPr>
        <w:t>合计</w:t>
      </w:r>
      <w:r>
        <w:rPr>
          <w:rFonts w:hint="eastAsia" w:asciiTheme="minorEastAsia" w:hAnsiTheme="minorEastAsia" w:eastAsiaTheme="minorEastAsia"/>
          <w:bCs/>
          <w:kern w:val="0"/>
          <w:szCs w:val="21"/>
        </w:rPr>
        <w:t>总价一致。</w:t>
      </w:r>
    </w:p>
    <w:p w14:paraId="4CC7EDFE">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4、</w:t>
      </w:r>
      <w:r>
        <w:rPr>
          <w:rFonts w:hint="eastAsia" w:ascii="宋体" w:hAnsi="宋体"/>
          <w:szCs w:val="21"/>
        </w:rPr>
        <w:t>根据《中华人民共和国财政部令第87号-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008AE5D">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p>
    <w:p w14:paraId="0828D823">
      <w:pPr>
        <w:keepNext w:val="0"/>
        <w:keepLines w:val="0"/>
        <w:pageBreakBefore w:val="0"/>
        <w:widowControl w:val="0"/>
        <w:kinsoku/>
        <w:wordWrap/>
        <w:overflowPunct/>
        <w:topLinePunct w:val="0"/>
        <w:autoSpaceDE/>
        <w:autoSpaceDN/>
        <w:bidi w:val="0"/>
        <w:spacing w:afterLines="50"/>
        <w:jc w:val="center"/>
        <w:textAlignment w:val="auto"/>
        <w:rPr>
          <w:rFonts w:ascii="黑体" w:hAnsi="宋体" w:eastAsia="黑体"/>
          <w:bCs/>
          <w:kern w:val="0"/>
          <w:sz w:val="24"/>
          <w:szCs w:val="24"/>
        </w:rPr>
      </w:pPr>
      <w:r>
        <w:rPr>
          <w:rFonts w:hint="eastAsia" w:ascii="黑体" w:hAnsi="宋体" w:eastAsia="黑体"/>
          <w:bCs/>
          <w:kern w:val="0"/>
          <w:sz w:val="24"/>
          <w:szCs w:val="24"/>
        </w:rPr>
        <w:t>十、服务要求偏离表</w:t>
      </w:r>
    </w:p>
    <w:tbl>
      <w:tblPr>
        <w:tblStyle w:val="42"/>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1"/>
        <w:gridCol w:w="1985"/>
        <w:gridCol w:w="1276"/>
        <w:gridCol w:w="2551"/>
      </w:tblGrid>
      <w:tr w14:paraId="3E76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51" w:type="dxa"/>
            <w:vAlign w:val="center"/>
          </w:tcPr>
          <w:p w14:paraId="39278561">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序号</w:t>
            </w:r>
          </w:p>
        </w:tc>
        <w:tc>
          <w:tcPr>
            <w:tcW w:w="2551" w:type="dxa"/>
            <w:vAlign w:val="center"/>
          </w:tcPr>
          <w:p w14:paraId="3397D48D">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招标文件服务要求</w:t>
            </w:r>
          </w:p>
        </w:tc>
        <w:tc>
          <w:tcPr>
            <w:tcW w:w="1985" w:type="dxa"/>
            <w:vAlign w:val="center"/>
          </w:tcPr>
          <w:p w14:paraId="39D6E677">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投标文件服务响应</w:t>
            </w:r>
          </w:p>
        </w:tc>
        <w:tc>
          <w:tcPr>
            <w:tcW w:w="1276" w:type="dxa"/>
            <w:vAlign w:val="center"/>
          </w:tcPr>
          <w:p w14:paraId="3001AA73">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偏离情况</w:t>
            </w:r>
          </w:p>
        </w:tc>
        <w:tc>
          <w:tcPr>
            <w:tcW w:w="2551" w:type="dxa"/>
            <w:vAlign w:val="center"/>
          </w:tcPr>
          <w:p w14:paraId="7FBE75D7">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说明</w:t>
            </w:r>
          </w:p>
        </w:tc>
      </w:tr>
      <w:tr w14:paraId="5A6F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851" w:type="dxa"/>
          </w:tcPr>
          <w:p w14:paraId="4E6B1636">
            <w:pPr>
              <w:keepNext w:val="0"/>
              <w:keepLines w:val="0"/>
              <w:pageBreakBefore w:val="0"/>
              <w:widowControl w:val="0"/>
              <w:kinsoku/>
              <w:wordWrap/>
              <w:overflowPunct/>
              <w:topLinePunct w:val="0"/>
              <w:autoSpaceDE/>
              <w:autoSpaceDN/>
              <w:bidi w:val="0"/>
              <w:textAlignment w:val="auto"/>
              <w:rPr>
                <w:sz w:val="24"/>
              </w:rPr>
            </w:pPr>
          </w:p>
        </w:tc>
        <w:tc>
          <w:tcPr>
            <w:tcW w:w="2551" w:type="dxa"/>
          </w:tcPr>
          <w:p w14:paraId="7E80CEB3">
            <w:pPr>
              <w:keepNext w:val="0"/>
              <w:keepLines w:val="0"/>
              <w:pageBreakBefore w:val="0"/>
              <w:widowControl w:val="0"/>
              <w:kinsoku/>
              <w:wordWrap/>
              <w:overflowPunct/>
              <w:topLinePunct w:val="0"/>
              <w:autoSpaceDE/>
              <w:autoSpaceDN/>
              <w:bidi w:val="0"/>
              <w:textAlignment w:val="auto"/>
              <w:rPr>
                <w:sz w:val="24"/>
              </w:rPr>
            </w:pPr>
          </w:p>
        </w:tc>
        <w:tc>
          <w:tcPr>
            <w:tcW w:w="1985" w:type="dxa"/>
          </w:tcPr>
          <w:p w14:paraId="21F320DB">
            <w:pPr>
              <w:keepNext w:val="0"/>
              <w:keepLines w:val="0"/>
              <w:pageBreakBefore w:val="0"/>
              <w:widowControl w:val="0"/>
              <w:kinsoku/>
              <w:wordWrap/>
              <w:overflowPunct/>
              <w:topLinePunct w:val="0"/>
              <w:autoSpaceDE/>
              <w:autoSpaceDN/>
              <w:bidi w:val="0"/>
              <w:textAlignment w:val="auto"/>
              <w:rPr>
                <w:sz w:val="24"/>
              </w:rPr>
            </w:pPr>
          </w:p>
        </w:tc>
        <w:tc>
          <w:tcPr>
            <w:tcW w:w="1276" w:type="dxa"/>
          </w:tcPr>
          <w:p w14:paraId="1B303730">
            <w:pPr>
              <w:keepNext w:val="0"/>
              <w:keepLines w:val="0"/>
              <w:pageBreakBefore w:val="0"/>
              <w:widowControl w:val="0"/>
              <w:kinsoku/>
              <w:wordWrap/>
              <w:overflowPunct/>
              <w:topLinePunct w:val="0"/>
              <w:autoSpaceDE/>
              <w:autoSpaceDN/>
              <w:bidi w:val="0"/>
              <w:textAlignment w:val="auto"/>
              <w:rPr>
                <w:sz w:val="24"/>
              </w:rPr>
            </w:pPr>
          </w:p>
        </w:tc>
        <w:tc>
          <w:tcPr>
            <w:tcW w:w="2551" w:type="dxa"/>
          </w:tcPr>
          <w:p w14:paraId="3AC04124">
            <w:pPr>
              <w:keepNext w:val="0"/>
              <w:keepLines w:val="0"/>
              <w:pageBreakBefore w:val="0"/>
              <w:widowControl w:val="0"/>
              <w:kinsoku/>
              <w:wordWrap/>
              <w:overflowPunct/>
              <w:topLinePunct w:val="0"/>
              <w:autoSpaceDE/>
              <w:autoSpaceDN/>
              <w:bidi w:val="0"/>
              <w:textAlignment w:val="auto"/>
              <w:rPr>
                <w:szCs w:val="21"/>
              </w:rPr>
            </w:pPr>
            <w:r>
              <w:rPr>
                <w:rFonts w:hint="eastAsia"/>
                <w:szCs w:val="21"/>
              </w:rPr>
              <w:t>如需附证明文件，应在“说明”栏填写证明文件对应名称和页码。</w:t>
            </w:r>
          </w:p>
        </w:tc>
      </w:tr>
      <w:tr w14:paraId="29E3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851" w:type="dxa"/>
          </w:tcPr>
          <w:p w14:paraId="0BA7189F">
            <w:pPr>
              <w:keepNext w:val="0"/>
              <w:keepLines w:val="0"/>
              <w:pageBreakBefore w:val="0"/>
              <w:widowControl w:val="0"/>
              <w:kinsoku/>
              <w:wordWrap/>
              <w:overflowPunct/>
              <w:topLinePunct w:val="0"/>
              <w:autoSpaceDE/>
              <w:autoSpaceDN/>
              <w:bidi w:val="0"/>
              <w:textAlignment w:val="auto"/>
              <w:rPr>
                <w:sz w:val="24"/>
              </w:rPr>
            </w:pPr>
          </w:p>
        </w:tc>
        <w:tc>
          <w:tcPr>
            <w:tcW w:w="2551" w:type="dxa"/>
          </w:tcPr>
          <w:p w14:paraId="247604FC">
            <w:pPr>
              <w:keepNext w:val="0"/>
              <w:keepLines w:val="0"/>
              <w:pageBreakBefore w:val="0"/>
              <w:widowControl w:val="0"/>
              <w:kinsoku/>
              <w:wordWrap/>
              <w:overflowPunct/>
              <w:topLinePunct w:val="0"/>
              <w:autoSpaceDE/>
              <w:autoSpaceDN/>
              <w:bidi w:val="0"/>
              <w:textAlignment w:val="auto"/>
              <w:rPr>
                <w:sz w:val="24"/>
              </w:rPr>
            </w:pPr>
          </w:p>
        </w:tc>
        <w:tc>
          <w:tcPr>
            <w:tcW w:w="1985" w:type="dxa"/>
          </w:tcPr>
          <w:p w14:paraId="2B162AB6">
            <w:pPr>
              <w:keepNext w:val="0"/>
              <w:keepLines w:val="0"/>
              <w:pageBreakBefore w:val="0"/>
              <w:widowControl w:val="0"/>
              <w:kinsoku/>
              <w:wordWrap/>
              <w:overflowPunct/>
              <w:topLinePunct w:val="0"/>
              <w:autoSpaceDE/>
              <w:autoSpaceDN/>
              <w:bidi w:val="0"/>
              <w:textAlignment w:val="auto"/>
              <w:rPr>
                <w:sz w:val="24"/>
              </w:rPr>
            </w:pPr>
          </w:p>
        </w:tc>
        <w:tc>
          <w:tcPr>
            <w:tcW w:w="1276" w:type="dxa"/>
          </w:tcPr>
          <w:p w14:paraId="13980485">
            <w:pPr>
              <w:keepNext w:val="0"/>
              <w:keepLines w:val="0"/>
              <w:pageBreakBefore w:val="0"/>
              <w:widowControl w:val="0"/>
              <w:kinsoku/>
              <w:wordWrap/>
              <w:overflowPunct/>
              <w:topLinePunct w:val="0"/>
              <w:autoSpaceDE/>
              <w:autoSpaceDN/>
              <w:bidi w:val="0"/>
              <w:textAlignment w:val="auto"/>
              <w:rPr>
                <w:sz w:val="24"/>
              </w:rPr>
            </w:pPr>
          </w:p>
        </w:tc>
        <w:tc>
          <w:tcPr>
            <w:tcW w:w="2551" w:type="dxa"/>
          </w:tcPr>
          <w:p w14:paraId="7F8768AF">
            <w:pPr>
              <w:keepNext w:val="0"/>
              <w:keepLines w:val="0"/>
              <w:pageBreakBefore w:val="0"/>
              <w:widowControl w:val="0"/>
              <w:kinsoku/>
              <w:wordWrap/>
              <w:overflowPunct/>
              <w:topLinePunct w:val="0"/>
              <w:autoSpaceDE/>
              <w:autoSpaceDN/>
              <w:bidi w:val="0"/>
              <w:textAlignment w:val="auto"/>
              <w:rPr>
                <w:sz w:val="24"/>
              </w:rPr>
            </w:pPr>
          </w:p>
        </w:tc>
      </w:tr>
    </w:tbl>
    <w:p w14:paraId="68BBC409">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备注：</w:t>
      </w:r>
    </w:p>
    <w:p w14:paraId="4206C360">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asciiTheme="minorEastAsia" w:hAnsiTheme="minorEastAsia" w:eastAsiaTheme="minorEastAsia"/>
          <w:bCs/>
          <w:kern w:val="0"/>
          <w:szCs w:val="21"/>
        </w:rPr>
        <w:t>1</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“招标文件服务要求”一栏填写招标文件第二章“招标项目需求”</w:t>
      </w:r>
      <w:r>
        <w:rPr>
          <w:rFonts w:asciiTheme="minorEastAsia" w:hAnsiTheme="minorEastAsia" w:eastAsiaTheme="minorEastAsia"/>
          <w:b/>
          <w:bCs/>
          <w:kern w:val="0"/>
          <w:szCs w:val="21"/>
          <w:highlight w:val="yellow"/>
        </w:rPr>
        <w:t>“</w:t>
      </w:r>
      <w:r>
        <w:rPr>
          <w:rFonts w:hint="eastAsia" w:asciiTheme="minorEastAsia" w:hAnsiTheme="minorEastAsia" w:eastAsiaTheme="minorEastAsia"/>
          <w:b/>
          <w:bCs/>
          <w:kern w:val="0"/>
          <w:szCs w:val="21"/>
          <w:highlight w:val="yellow"/>
        </w:rPr>
        <w:t>四、项目</w:t>
      </w:r>
      <w:r>
        <w:rPr>
          <w:rFonts w:asciiTheme="minorEastAsia" w:hAnsiTheme="minorEastAsia" w:eastAsiaTheme="minorEastAsia"/>
          <w:b/>
          <w:bCs/>
          <w:kern w:val="0"/>
          <w:szCs w:val="21"/>
          <w:highlight w:val="yellow"/>
        </w:rPr>
        <w:t>服务</w:t>
      </w:r>
      <w:r>
        <w:rPr>
          <w:rFonts w:hint="eastAsia" w:asciiTheme="minorEastAsia" w:hAnsiTheme="minorEastAsia" w:eastAsiaTheme="minorEastAsia"/>
          <w:b/>
          <w:bCs/>
          <w:kern w:val="0"/>
          <w:szCs w:val="21"/>
          <w:highlight w:val="yellow"/>
        </w:rPr>
        <w:t>要求</w:t>
      </w:r>
      <w:r>
        <w:rPr>
          <w:rFonts w:asciiTheme="minorEastAsia" w:hAnsiTheme="minorEastAsia" w:eastAsiaTheme="minorEastAsia"/>
          <w:b/>
          <w:bCs/>
          <w:kern w:val="0"/>
          <w:szCs w:val="21"/>
          <w:highlight w:val="yellow"/>
        </w:rPr>
        <w:t>”</w:t>
      </w:r>
      <w:r>
        <w:rPr>
          <w:rFonts w:asciiTheme="minorEastAsia" w:hAnsiTheme="minorEastAsia" w:eastAsiaTheme="minorEastAsia"/>
          <w:bCs/>
          <w:kern w:val="0"/>
          <w:szCs w:val="21"/>
        </w:rPr>
        <w:t>的内容。</w:t>
      </w:r>
    </w:p>
    <w:p w14:paraId="5B574C30">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asciiTheme="minorEastAsia" w:hAnsiTheme="minorEastAsia" w:eastAsiaTheme="minorEastAsia"/>
          <w:bCs/>
          <w:kern w:val="0"/>
          <w:szCs w:val="21"/>
        </w:rPr>
        <w:t>2</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“投标文件服务</w:t>
      </w:r>
      <w:r>
        <w:rPr>
          <w:rFonts w:hint="eastAsia" w:asciiTheme="minorEastAsia" w:hAnsiTheme="minorEastAsia" w:eastAsiaTheme="minorEastAsia"/>
          <w:bCs/>
          <w:kern w:val="0"/>
          <w:szCs w:val="21"/>
        </w:rPr>
        <w:t>响应</w:t>
      </w:r>
      <w:r>
        <w:rPr>
          <w:rFonts w:asciiTheme="minorEastAsia" w:hAnsiTheme="minorEastAsia" w:eastAsiaTheme="minorEastAsia"/>
          <w:bCs/>
          <w:kern w:val="0"/>
          <w:szCs w:val="21"/>
        </w:rPr>
        <w:t>”一栏详细填写响应情况，并应对照</w:t>
      </w:r>
      <w:r>
        <w:rPr>
          <w:rFonts w:hint="eastAsia" w:asciiTheme="minorEastAsia" w:hAnsiTheme="minorEastAsia" w:eastAsiaTheme="minorEastAsia"/>
          <w:bCs/>
          <w:kern w:val="0"/>
          <w:szCs w:val="21"/>
        </w:rPr>
        <w:t>招</w:t>
      </w:r>
      <w:r>
        <w:rPr>
          <w:rFonts w:asciiTheme="minorEastAsia" w:hAnsiTheme="minorEastAsia" w:eastAsiaTheme="minorEastAsia"/>
          <w:bCs/>
          <w:kern w:val="0"/>
          <w:szCs w:val="21"/>
        </w:rPr>
        <w:t>标文件</w:t>
      </w:r>
      <w:r>
        <w:rPr>
          <w:rFonts w:hint="eastAsia" w:asciiTheme="minorEastAsia" w:hAnsiTheme="minorEastAsia" w:eastAsiaTheme="minorEastAsia"/>
          <w:bCs/>
          <w:kern w:val="0"/>
          <w:szCs w:val="21"/>
        </w:rPr>
        <w:t>服务</w:t>
      </w:r>
      <w:r>
        <w:rPr>
          <w:rFonts w:asciiTheme="minorEastAsia" w:hAnsiTheme="minorEastAsia" w:eastAsiaTheme="minorEastAsia"/>
          <w:bCs/>
          <w:kern w:val="0"/>
          <w:szCs w:val="21"/>
        </w:rPr>
        <w:t>要求一一对应响应。</w:t>
      </w:r>
    </w:p>
    <w:p w14:paraId="2F6CA011">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asciiTheme="minorEastAsia" w:hAnsiTheme="minorEastAsia" w:eastAsiaTheme="minorEastAsia"/>
          <w:bCs/>
          <w:kern w:val="0"/>
          <w:szCs w:val="21"/>
        </w:rPr>
        <w:t>3</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“偏离情况”一栏应如实填写“正偏离”、“负偏离”或“无偏离”。</w:t>
      </w:r>
    </w:p>
    <w:p w14:paraId="639DDCAA">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4、对于实质性条款，投标文件响应为“负偏离”的，投标文件将作投标无效处理</w:t>
      </w:r>
      <w:r>
        <w:rPr>
          <w:rFonts w:asciiTheme="minorEastAsia" w:hAnsiTheme="minorEastAsia" w:eastAsiaTheme="minorEastAsia"/>
          <w:bCs/>
          <w:kern w:val="0"/>
          <w:szCs w:val="21"/>
        </w:rPr>
        <w:t>。</w:t>
      </w:r>
    </w:p>
    <w:p w14:paraId="251715F6">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5、如招标文件要求提供证明材料的，投标文件需提供相应证明材料扫描件（原件备查）并注明证明材料在投标文件中的具体位置，未按要求提供证明材料或未注明证明材料的具体位置或提供的证明资料显示不符合招标文件要求、模糊不清无法判断或未显示是否满足招标文件要求的，均视为负偏离。</w:t>
      </w:r>
    </w:p>
    <w:p w14:paraId="1E386C2E">
      <w:pPr>
        <w:keepNext w:val="0"/>
        <w:keepLines w:val="0"/>
        <w:pageBreakBefore w:val="0"/>
        <w:widowControl w:val="0"/>
        <w:kinsoku/>
        <w:wordWrap/>
        <w:overflowPunct/>
        <w:topLinePunct w:val="0"/>
        <w:autoSpaceDE/>
        <w:autoSpaceDN/>
        <w:bidi w:val="0"/>
        <w:spacing w:afterLines="50"/>
        <w:jc w:val="center"/>
        <w:textAlignment w:val="auto"/>
        <w:rPr>
          <w:rFonts w:ascii="黑体" w:hAnsi="宋体" w:eastAsia="黑体"/>
          <w:bCs/>
          <w:kern w:val="0"/>
          <w:sz w:val="24"/>
          <w:szCs w:val="24"/>
        </w:rPr>
      </w:pPr>
      <w:r>
        <w:rPr>
          <w:rFonts w:hint="eastAsia" w:ascii="黑体" w:hAnsi="宋体" w:eastAsia="黑体"/>
          <w:bCs/>
          <w:kern w:val="0"/>
          <w:sz w:val="24"/>
          <w:szCs w:val="24"/>
        </w:rPr>
        <w:t>十一、商务要求偏离表</w:t>
      </w:r>
    </w:p>
    <w:tbl>
      <w:tblPr>
        <w:tblStyle w:val="42"/>
        <w:tblW w:w="91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410"/>
        <w:gridCol w:w="2551"/>
        <w:gridCol w:w="1344"/>
        <w:gridCol w:w="2008"/>
      </w:tblGrid>
      <w:tr w14:paraId="5379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51" w:type="dxa"/>
            <w:vAlign w:val="center"/>
          </w:tcPr>
          <w:p w14:paraId="1850EAFB">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序号</w:t>
            </w:r>
          </w:p>
        </w:tc>
        <w:tc>
          <w:tcPr>
            <w:tcW w:w="2410" w:type="dxa"/>
            <w:vAlign w:val="center"/>
          </w:tcPr>
          <w:p w14:paraId="3926BF9F">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招标文件商务要求</w:t>
            </w:r>
          </w:p>
        </w:tc>
        <w:tc>
          <w:tcPr>
            <w:tcW w:w="2551" w:type="dxa"/>
            <w:vAlign w:val="center"/>
          </w:tcPr>
          <w:p w14:paraId="1EB35F66">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投标文件商务响应</w:t>
            </w:r>
          </w:p>
        </w:tc>
        <w:tc>
          <w:tcPr>
            <w:tcW w:w="1344" w:type="dxa"/>
            <w:vAlign w:val="center"/>
          </w:tcPr>
          <w:p w14:paraId="25F813FD">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偏离情况</w:t>
            </w:r>
          </w:p>
        </w:tc>
        <w:tc>
          <w:tcPr>
            <w:tcW w:w="2008" w:type="dxa"/>
            <w:vAlign w:val="center"/>
          </w:tcPr>
          <w:p w14:paraId="5045CF26">
            <w:pPr>
              <w:keepNext w:val="0"/>
              <w:keepLines w:val="0"/>
              <w:pageBreakBefore w:val="0"/>
              <w:widowControl w:val="0"/>
              <w:kinsoku/>
              <w:wordWrap/>
              <w:overflowPunct/>
              <w:topLinePunct w:val="0"/>
              <w:autoSpaceDE/>
              <w:autoSpaceDN/>
              <w:bidi w:val="0"/>
              <w:jc w:val="center"/>
              <w:textAlignment w:val="auto"/>
              <w:rPr>
                <w:rFonts w:ascii="宋体" w:hAnsi="宋体"/>
                <w:szCs w:val="21"/>
              </w:rPr>
            </w:pPr>
            <w:r>
              <w:rPr>
                <w:rFonts w:hint="eastAsia" w:ascii="宋体" w:hAnsi="宋体"/>
                <w:szCs w:val="21"/>
              </w:rPr>
              <w:t>说明</w:t>
            </w:r>
          </w:p>
        </w:tc>
      </w:tr>
      <w:tr w14:paraId="2C41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51" w:type="dxa"/>
          </w:tcPr>
          <w:p w14:paraId="0B759D19">
            <w:pPr>
              <w:keepNext w:val="0"/>
              <w:keepLines w:val="0"/>
              <w:pageBreakBefore w:val="0"/>
              <w:widowControl w:val="0"/>
              <w:kinsoku/>
              <w:wordWrap/>
              <w:overflowPunct/>
              <w:topLinePunct w:val="0"/>
              <w:autoSpaceDE/>
              <w:autoSpaceDN/>
              <w:bidi w:val="0"/>
              <w:textAlignment w:val="auto"/>
              <w:rPr>
                <w:sz w:val="24"/>
              </w:rPr>
            </w:pPr>
          </w:p>
        </w:tc>
        <w:tc>
          <w:tcPr>
            <w:tcW w:w="2410" w:type="dxa"/>
          </w:tcPr>
          <w:p w14:paraId="0C1B9C62">
            <w:pPr>
              <w:keepNext w:val="0"/>
              <w:keepLines w:val="0"/>
              <w:pageBreakBefore w:val="0"/>
              <w:widowControl w:val="0"/>
              <w:kinsoku/>
              <w:wordWrap/>
              <w:overflowPunct/>
              <w:topLinePunct w:val="0"/>
              <w:autoSpaceDE/>
              <w:autoSpaceDN/>
              <w:bidi w:val="0"/>
              <w:textAlignment w:val="auto"/>
              <w:rPr>
                <w:sz w:val="24"/>
              </w:rPr>
            </w:pPr>
          </w:p>
        </w:tc>
        <w:tc>
          <w:tcPr>
            <w:tcW w:w="2551" w:type="dxa"/>
          </w:tcPr>
          <w:p w14:paraId="69D4EE08">
            <w:pPr>
              <w:keepNext w:val="0"/>
              <w:keepLines w:val="0"/>
              <w:pageBreakBefore w:val="0"/>
              <w:widowControl w:val="0"/>
              <w:kinsoku/>
              <w:wordWrap/>
              <w:overflowPunct/>
              <w:topLinePunct w:val="0"/>
              <w:autoSpaceDE/>
              <w:autoSpaceDN/>
              <w:bidi w:val="0"/>
              <w:textAlignment w:val="auto"/>
              <w:rPr>
                <w:sz w:val="24"/>
              </w:rPr>
            </w:pPr>
          </w:p>
        </w:tc>
        <w:tc>
          <w:tcPr>
            <w:tcW w:w="1344" w:type="dxa"/>
          </w:tcPr>
          <w:p w14:paraId="2D6A8EDF">
            <w:pPr>
              <w:keepNext w:val="0"/>
              <w:keepLines w:val="0"/>
              <w:pageBreakBefore w:val="0"/>
              <w:widowControl w:val="0"/>
              <w:kinsoku/>
              <w:wordWrap/>
              <w:overflowPunct/>
              <w:topLinePunct w:val="0"/>
              <w:autoSpaceDE/>
              <w:autoSpaceDN/>
              <w:bidi w:val="0"/>
              <w:textAlignment w:val="auto"/>
              <w:rPr>
                <w:sz w:val="24"/>
              </w:rPr>
            </w:pPr>
          </w:p>
        </w:tc>
        <w:tc>
          <w:tcPr>
            <w:tcW w:w="2008" w:type="dxa"/>
          </w:tcPr>
          <w:p w14:paraId="037656C7">
            <w:pPr>
              <w:keepNext w:val="0"/>
              <w:keepLines w:val="0"/>
              <w:pageBreakBefore w:val="0"/>
              <w:widowControl w:val="0"/>
              <w:kinsoku/>
              <w:wordWrap/>
              <w:overflowPunct/>
              <w:topLinePunct w:val="0"/>
              <w:autoSpaceDE/>
              <w:autoSpaceDN/>
              <w:bidi w:val="0"/>
              <w:textAlignment w:val="auto"/>
              <w:rPr>
                <w:sz w:val="24"/>
              </w:rPr>
            </w:pPr>
            <w:r>
              <w:rPr>
                <w:rFonts w:hint="eastAsia"/>
                <w:szCs w:val="21"/>
              </w:rPr>
              <w:t>如需附证明文件，应在“说明”栏填写证明文件对应名称和页码。</w:t>
            </w:r>
          </w:p>
        </w:tc>
      </w:tr>
      <w:tr w14:paraId="0145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51" w:type="dxa"/>
          </w:tcPr>
          <w:p w14:paraId="3457B3E1">
            <w:pPr>
              <w:keepNext w:val="0"/>
              <w:keepLines w:val="0"/>
              <w:pageBreakBefore w:val="0"/>
              <w:widowControl w:val="0"/>
              <w:kinsoku/>
              <w:wordWrap/>
              <w:overflowPunct/>
              <w:topLinePunct w:val="0"/>
              <w:autoSpaceDE/>
              <w:autoSpaceDN/>
              <w:bidi w:val="0"/>
              <w:textAlignment w:val="auto"/>
              <w:rPr>
                <w:sz w:val="24"/>
              </w:rPr>
            </w:pPr>
          </w:p>
        </w:tc>
        <w:tc>
          <w:tcPr>
            <w:tcW w:w="2410" w:type="dxa"/>
          </w:tcPr>
          <w:p w14:paraId="0C7AC9AF">
            <w:pPr>
              <w:keepNext w:val="0"/>
              <w:keepLines w:val="0"/>
              <w:pageBreakBefore w:val="0"/>
              <w:widowControl w:val="0"/>
              <w:kinsoku/>
              <w:wordWrap/>
              <w:overflowPunct/>
              <w:topLinePunct w:val="0"/>
              <w:autoSpaceDE/>
              <w:autoSpaceDN/>
              <w:bidi w:val="0"/>
              <w:textAlignment w:val="auto"/>
              <w:rPr>
                <w:sz w:val="24"/>
              </w:rPr>
            </w:pPr>
          </w:p>
        </w:tc>
        <w:tc>
          <w:tcPr>
            <w:tcW w:w="2551" w:type="dxa"/>
          </w:tcPr>
          <w:p w14:paraId="3D98CF80">
            <w:pPr>
              <w:keepNext w:val="0"/>
              <w:keepLines w:val="0"/>
              <w:pageBreakBefore w:val="0"/>
              <w:widowControl w:val="0"/>
              <w:kinsoku/>
              <w:wordWrap/>
              <w:overflowPunct/>
              <w:topLinePunct w:val="0"/>
              <w:autoSpaceDE/>
              <w:autoSpaceDN/>
              <w:bidi w:val="0"/>
              <w:textAlignment w:val="auto"/>
              <w:rPr>
                <w:sz w:val="24"/>
              </w:rPr>
            </w:pPr>
          </w:p>
        </w:tc>
        <w:tc>
          <w:tcPr>
            <w:tcW w:w="1344" w:type="dxa"/>
          </w:tcPr>
          <w:p w14:paraId="203B4BFA">
            <w:pPr>
              <w:keepNext w:val="0"/>
              <w:keepLines w:val="0"/>
              <w:pageBreakBefore w:val="0"/>
              <w:widowControl w:val="0"/>
              <w:kinsoku/>
              <w:wordWrap/>
              <w:overflowPunct/>
              <w:topLinePunct w:val="0"/>
              <w:autoSpaceDE/>
              <w:autoSpaceDN/>
              <w:bidi w:val="0"/>
              <w:textAlignment w:val="auto"/>
              <w:rPr>
                <w:sz w:val="24"/>
              </w:rPr>
            </w:pPr>
          </w:p>
        </w:tc>
        <w:tc>
          <w:tcPr>
            <w:tcW w:w="2008" w:type="dxa"/>
          </w:tcPr>
          <w:p w14:paraId="43292BB0">
            <w:pPr>
              <w:keepNext w:val="0"/>
              <w:keepLines w:val="0"/>
              <w:pageBreakBefore w:val="0"/>
              <w:widowControl w:val="0"/>
              <w:kinsoku/>
              <w:wordWrap/>
              <w:overflowPunct/>
              <w:topLinePunct w:val="0"/>
              <w:autoSpaceDE/>
              <w:autoSpaceDN/>
              <w:bidi w:val="0"/>
              <w:textAlignment w:val="auto"/>
              <w:rPr>
                <w:sz w:val="24"/>
              </w:rPr>
            </w:pPr>
          </w:p>
        </w:tc>
      </w:tr>
    </w:tbl>
    <w:p w14:paraId="4C1A36D5">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备注：</w:t>
      </w:r>
    </w:p>
    <w:p w14:paraId="1A4AC734">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1、“招标文件商务服务要求”一栏填写招标文件第二章“招标项目需求”</w:t>
      </w:r>
      <w:r>
        <w:rPr>
          <w:rFonts w:hint="eastAsia" w:asciiTheme="minorEastAsia" w:hAnsiTheme="minorEastAsia" w:eastAsiaTheme="minorEastAsia"/>
          <w:b/>
          <w:bCs/>
          <w:kern w:val="0"/>
          <w:szCs w:val="21"/>
          <w:highlight w:val="yellow"/>
        </w:rPr>
        <w:t>“五、项目商务要求”</w:t>
      </w:r>
      <w:r>
        <w:rPr>
          <w:rFonts w:hint="eastAsia" w:asciiTheme="minorEastAsia" w:hAnsiTheme="minorEastAsia" w:eastAsiaTheme="minorEastAsia"/>
          <w:bCs/>
          <w:kern w:val="0"/>
          <w:szCs w:val="21"/>
        </w:rPr>
        <w:t>的内容</w:t>
      </w:r>
      <w:r>
        <w:rPr>
          <w:rFonts w:asciiTheme="minorEastAsia" w:hAnsiTheme="minorEastAsia" w:eastAsiaTheme="minorEastAsia"/>
          <w:bCs/>
          <w:kern w:val="0"/>
          <w:szCs w:val="21"/>
        </w:rPr>
        <w:t>。</w:t>
      </w:r>
    </w:p>
    <w:p w14:paraId="1CD0329C">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2、“投标文件商务响应”一栏详细填写投标商务条款的内容</w:t>
      </w:r>
      <w:r>
        <w:rPr>
          <w:rFonts w:asciiTheme="minorEastAsia" w:hAnsiTheme="minorEastAsia" w:eastAsiaTheme="minorEastAsia"/>
          <w:bCs/>
          <w:kern w:val="0"/>
          <w:szCs w:val="21"/>
        </w:rPr>
        <w:t>。</w:t>
      </w:r>
    </w:p>
    <w:p w14:paraId="152F2C48">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3、“偏离情况”栏中应如实填写“正偏离”、“负偏离”或“无偏离”</w:t>
      </w:r>
      <w:r>
        <w:rPr>
          <w:rFonts w:asciiTheme="minorEastAsia" w:hAnsiTheme="minorEastAsia" w:eastAsiaTheme="minorEastAsia"/>
          <w:bCs/>
          <w:kern w:val="0"/>
          <w:szCs w:val="21"/>
        </w:rPr>
        <w:t>。</w:t>
      </w:r>
    </w:p>
    <w:p w14:paraId="6C2E6C93">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4、对于实质性条款，投标文件响应为“负偏离”的，投标文件将作投标无效处理</w:t>
      </w:r>
      <w:r>
        <w:rPr>
          <w:rFonts w:asciiTheme="minorEastAsia" w:hAnsiTheme="minorEastAsia" w:eastAsiaTheme="minorEastAsia"/>
          <w:bCs/>
          <w:kern w:val="0"/>
          <w:szCs w:val="21"/>
        </w:rPr>
        <w:t>。</w:t>
      </w:r>
    </w:p>
    <w:p w14:paraId="1F93142A">
      <w:pPr>
        <w:keepNext w:val="0"/>
        <w:keepLines w:val="0"/>
        <w:pageBreakBefore w:val="0"/>
        <w:widowControl w:val="0"/>
        <w:tabs>
          <w:tab w:val="left" w:pos="765"/>
        </w:tabs>
        <w:kinsoku/>
        <w:wordWrap/>
        <w:overflowPunct/>
        <w:topLinePunct w:val="0"/>
        <w:autoSpaceDE/>
        <w:autoSpaceDN/>
        <w:bidi w:val="0"/>
        <w:spacing w:line="376" w:lineRule="auto"/>
        <w:textAlignment w:val="auto"/>
        <w:outlineLvl w:val="3"/>
        <w:rPr>
          <w:rFonts w:asciiTheme="minorEastAsia" w:hAnsiTheme="minorEastAsia" w:eastAsiaTheme="minorEastAsia"/>
          <w:bCs/>
          <w:kern w:val="0"/>
          <w:szCs w:val="21"/>
        </w:rPr>
      </w:pPr>
      <w:r>
        <w:rPr>
          <w:rFonts w:hint="eastAsia" w:asciiTheme="minorEastAsia" w:hAnsiTheme="minorEastAsia" w:eastAsiaTheme="minorEastAsia"/>
          <w:bCs/>
          <w:kern w:val="0"/>
          <w:szCs w:val="21"/>
        </w:rPr>
        <w:t>5、如招标文件要求提供证明材料的，投标文件需提供相应证明材料扫描件（原件备查）并注明证明材料在投标文件中的具体位置，未按要求提供证明材料或未注明证明材料的具体位置或提供的证明资料显示不符合招标文件要求、模糊不清无法判断或未显示是否满足招标文件要求的，均视为负偏离。</w:t>
      </w:r>
    </w:p>
    <w:p w14:paraId="02D67C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rPr>
        <w:t>十二、策划方案</w:t>
      </w:r>
    </w:p>
    <w:p w14:paraId="02C882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十三、</w:t>
      </w:r>
      <w:r>
        <w:rPr>
          <w:rFonts w:hint="eastAsia" w:ascii="黑体" w:hAnsi="宋体" w:eastAsia="黑体"/>
          <w:bCs/>
          <w:kern w:val="0"/>
          <w:sz w:val="24"/>
          <w:szCs w:val="24"/>
        </w:rPr>
        <w:t>实施方案</w:t>
      </w:r>
    </w:p>
    <w:p w14:paraId="5172FF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十四、</w:t>
      </w:r>
      <w:r>
        <w:rPr>
          <w:rFonts w:hint="eastAsia" w:ascii="黑体" w:hAnsi="宋体" w:eastAsia="黑体"/>
          <w:bCs/>
          <w:kern w:val="0"/>
          <w:sz w:val="24"/>
          <w:szCs w:val="24"/>
        </w:rPr>
        <w:t>现场演示</w:t>
      </w:r>
    </w:p>
    <w:p w14:paraId="047763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十五、</w:t>
      </w:r>
      <w:r>
        <w:rPr>
          <w:rFonts w:hint="eastAsia" w:ascii="黑体" w:hAnsi="宋体" w:eastAsia="黑体"/>
          <w:bCs/>
          <w:kern w:val="0"/>
          <w:sz w:val="24"/>
          <w:szCs w:val="24"/>
        </w:rPr>
        <w:t>项目重点难点分析、应对措施及相关的合理化建议</w:t>
      </w:r>
    </w:p>
    <w:p w14:paraId="046A66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十六、</w:t>
      </w:r>
      <w:r>
        <w:rPr>
          <w:rFonts w:hint="eastAsia" w:ascii="黑体" w:hAnsi="宋体" w:eastAsia="黑体"/>
          <w:bCs/>
          <w:kern w:val="0"/>
          <w:sz w:val="24"/>
          <w:szCs w:val="24"/>
        </w:rPr>
        <w:t>违约承诺</w:t>
      </w:r>
    </w:p>
    <w:p w14:paraId="030C84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十七、</w:t>
      </w:r>
      <w:r>
        <w:rPr>
          <w:rFonts w:hint="eastAsia" w:ascii="黑体" w:hAnsi="宋体" w:eastAsia="黑体"/>
          <w:bCs/>
          <w:kern w:val="0"/>
          <w:sz w:val="24"/>
          <w:szCs w:val="24"/>
        </w:rPr>
        <w:t>同类项目业绩情况</w:t>
      </w:r>
    </w:p>
    <w:p w14:paraId="3DC21F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十八、</w:t>
      </w:r>
      <w:r>
        <w:rPr>
          <w:rFonts w:hint="eastAsia" w:ascii="黑体" w:hAnsi="宋体" w:eastAsia="黑体"/>
          <w:bCs/>
          <w:kern w:val="0"/>
          <w:sz w:val="24"/>
          <w:szCs w:val="24"/>
        </w:rPr>
        <w:t>获奖（荣誉）情况</w:t>
      </w:r>
    </w:p>
    <w:p w14:paraId="7C42CF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十九、</w:t>
      </w:r>
      <w:r>
        <w:rPr>
          <w:rFonts w:hint="eastAsia" w:ascii="黑体" w:hAnsi="宋体" w:eastAsia="黑体"/>
          <w:bCs/>
          <w:kern w:val="0"/>
          <w:sz w:val="24"/>
          <w:szCs w:val="24"/>
        </w:rPr>
        <w:t>拟安排的项目负责人（仅限1人）情况</w:t>
      </w:r>
    </w:p>
    <w:p w14:paraId="20028E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二十、</w:t>
      </w:r>
      <w:r>
        <w:rPr>
          <w:rFonts w:hint="eastAsia" w:ascii="黑体" w:hAnsi="宋体" w:eastAsia="黑体"/>
          <w:bCs/>
          <w:kern w:val="0"/>
          <w:sz w:val="24"/>
          <w:szCs w:val="24"/>
        </w:rPr>
        <w:t>拟安排的项目团队成员（项目负责人除外）情况|</w:t>
      </w:r>
    </w:p>
    <w:p w14:paraId="50FCCF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二十一、</w:t>
      </w:r>
      <w:r>
        <w:rPr>
          <w:rFonts w:hint="eastAsia" w:ascii="黑体" w:hAnsi="宋体" w:eastAsia="黑体"/>
          <w:bCs/>
          <w:kern w:val="0"/>
          <w:sz w:val="24"/>
          <w:szCs w:val="24"/>
        </w:rPr>
        <w:t>服务网点</w:t>
      </w:r>
    </w:p>
    <w:p w14:paraId="5E9AA4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Cs/>
          <w:kern w:val="0"/>
          <w:sz w:val="24"/>
          <w:szCs w:val="24"/>
        </w:rPr>
      </w:pPr>
      <w:r>
        <w:rPr>
          <w:rFonts w:hint="eastAsia" w:ascii="黑体" w:hAnsi="宋体" w:eastAsia="黑体"/>
          <w:bCs/>
          <w:kern w:val="0"/>
          <w:sz w:val="24"/>
          <w:szCs w:val="24"/>
          <w:lang w:val="en-US" w:eastAsia="zh-CN"/>
        </w:rPr>
        <w:t>二十二、</w:t>
      </w:r>
      <w:r>
        <w:rPr>
          <w:rFonts w:hint="eastAsia" w:ascii="黑体" w:hAnsi="宋体" w:eastAsia="黑体"/>
          <w:bCs/>
          <w:kern w:val="0"/>
          <w:sz w:val="24"/>
          <w:szCs w:val="24"/>
        </w:rPr>
        <w:t>诚信评审</w:t>
      </w:r>
    </w:p>
    <w:p w14:paraId="644D50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b/>
          <w:bCs/>
          <w:kern w:val="0"/>
          <w:sz w:val="24"/>
          <w:szCs w:val="20"/>
        </w:rPr>
      </w:pPr>
      <w:r>
        <w:rPr>
          <w:rFonts w:hint="eastAsia" w:ascii="黑体" w:hAnsi="宋体" w:eastAsia="黑体"/>
          <w:bCs/>
          <w:kern w:val="0"/>
          <w:sz w:val="24"/>
          <w:szCs w:val="24"/>
          <w:lang w:val="en-US" w:eastAsia="zh-CN"/>
        </w:rPr>
        <w:t>二十三</w:t>
      </w:r>
      <w:r>
        <w:rPr>
          <w:rFonts w:hint="eastAsia" w:ascii="黑体" w:hAnsi="宋体" w:eastAsia="黑体"/>
          <w:bCs/>
          <w:kern w:val="0"/>
          <w:sz w:val="24"/>
          <w:szCs w:val="24"/>
        </w:rPr>
        <w:t>、招标文件要求的其它内容或投标人认为需要补充的资料（格式自定）</w:t>
      </w:r>
      <w:r>
        <w:rPr>
          <w:rFonts w:ascii="宋体" w:hAnsi="宋体"/>
          <w:b/>
          <w:bCs/>
          <w:kern w:val="0"/>
          <w:sz w:val="24"/>
          <w:szCs w:val="20"/>
        </w:rPr>
        <w:br w:type="page"/>
      </w:r>
    </w:p>
    <w:p w14:paraId="242F487B">
      <w:pPr>
        <w:jc w:val="center"/>
        <w:rPr>
          <w:rFonts w:ascii="宋体" w:hAnsi="宋体"/>
          <w:b/>
          <w:bCs/>
          <w:kern w:val="0"/>
          <w:sz w:val="24"/>
          <w:szCs w:val="20"/>
        </w:rPr>
      </w:pPr>
      <w:r>
        <w:rPr>
          <w:rFonts w:hint="eastAsia" w:ascii="宋体" w:hAnsi="宋体"/>
          <w:b/>
          <w:bCs/>
          <w:kern w:val="0"/>
          <w:sz w:val="24"/>
          <w:szCs w:val="20"/>
        </w:rPr>
        <w:t>第四章  合同及履约情况反馈格式</w:t>
      </w:r>
    </w:p>
    <w:p w14:paraId="0F9D26C0">
      <w:pPr>
        <w:ind w:firstLine="411" w:firstLineChars="196"/>
        <w:rPr>
          <w:rFonts w:ascii="Times New Roman" w:hAnsi="Times New Roman"/>
          <w:szCs w:val="24"/>
        </w:rPr>
      </w:pPr>
    </w:p>
    <w:p w14:paraId="0FFB6EBE">
      <w:pPr>
        <w:keepNext/>
        <w:keepLines/>
        <w:spacing w:before="260" w:after="260"/>
        <w:jc w:val="center"/>
        <w:outlineLvl w:val="2"/>
        <w:rPr>
          <w:rFonts w:ascii="黑体" w:hAnsi="宋体" w:eastAsia="黑体"/>
          <w:bCs/>
          <w:kern w:val="0"/>
          <w:sz w:val="24"/>
          <w:szCs w:val="24"/>
        </w:rPr>
      </w:pPr>
      <w:r>
        <w:rPr>
          <w:rFonts w:hint="eastAsia" w:ascii="黑体" w:hAnsi="宋体" w:eastAsia="黑体"/>
          <w:bCs/>
          <w:kern w:val="0"/>
          <w:sz w:val="24"/>
          <w:szCs w:val="24"/>
        </w:rPr>
        <w:t>一、合同条款及格式（</w:t>
      </w:r>
      <w:r>
        <w:rPr>
          <w:rFonts w:hint="eastAsia" w:ascii="黑体" w:eastAsia="黑体"/>
          <w:kern w:val="0"/>
          <w:sz w:val="24"/>
          <w:szCs w:val="24"/>
        </w:rPr>
        <w:t>仅供参考</w:t>
      </w:r>
      <w:r>
        <w:rPr>
          <w:rFonts w:hint="eastAsia" w:ascii="黑体" w:hAnsi="宋体" w:eastAsia="黑体"/>
          <w:bCs/>
          <w:kern w:val="0"/>
          <w:sz w:val="24"/>
          <w:szCs w:val="24"/>
        </w:rPr>
        <w:t>）</w:t>
      </w:r>
    </w:p>
    <w:p w14:paraId="7CEB1344">
      <w:pPr>
        <w:ind w:firstLine="470" w:firstLineChars="196"/>
        <w:jc w:val="center"/>
        <w:rPr>
          <w:rFonts w:ascii="Times New Roman" w:hAnsi="Times New Roman"/>
          <w:sz w:val="24"/>
          <w:szCs w:val="24"/>
        </w:rPr>
      </w:pPr>
      <w:bookmarkStart w:id="13" w:name="_Toc73518163"/>
      <w:bookmarkStart w:id="14" w:name="_Toc73521592"/>
      <w:bookmarkStart w:id="15" w:name="_Toc101074886"/>
      <w:bookmarkStart w:id="16" w:name="_Toc84303603"/>
      <w:bookmarkStart w:id="17" w:name="_Toc73521680"/>
      <w:bookmarkStart w:id="18" w:name="_Toc73517685"/>
      <w:bookmarkStart w:id="19" w:name="_Toc100052414"/>
    </w:p>
    <w:p w14:paraId="76C25A92">
      <w:pPr>
        <w:ind w:firstLine="470" w:firstLineChars="196"/>
        <w:jc w:val="center"/>
        <w:rPr>
          <w:rFonts w:ascii="Times New Roman" w:hAnsi="Times New Roman"/>
          <w:sz w:val="24"/>
          <w:szCs w:val="24"/>
        </w:rPr>
      </w:pPr>
    </w:p>
    <w:bookmarkEnd w:id="13"/>
    <w:bookmarkEnd w:id="14"/>
    <w:bookmarkEnd w:id="15"/>
    <w:bookmarkEnd w:id="16"/>
    <w:bookmarkEnd w:id="17"/>
    <w:bookmarkEnd w:id="18"/>
    <w:bookmarkEnd w:id="19"/>
    <w:p w14:paraId="40F3D934">
      <w:pPr>
        <w:adjustRightInd w:val="0"/>
        <w:snapToGrid w:val="0"/>
        <w:spacing w:after="60" w:line="360" w:lineRule="auto"/>
        <w:jc w:val="center"/>
        <w:rPr>
          <w:b/>
          <w:snapToGrid w:val="0"/>
          <w:kern w:val="0"/>
          <w:sz w:val="24"/>
        </w:rPr>
      </w:pPr>
      <w:r>
        <w:rPr>
          <w:rFonts w:hint="eastAsia"/>
          <w:b/>
          <w:snapToGrid w:val="0"/>
          <w:kern w:val="0"/>
          <w:sz w:val="24"/>
        </w:rPr>
        <w:t>（拟签订的合同文本）</w:t>
      </w:r>
    </w:p>
    <w:p w14:paraId="07B090B3">
      <w:pPr>
        <w:pStyle w:val="23"/>
        <w:spacing w:line="360" w:lineRule="auto"/>
        <w:ind w:firstLine="482" w:firstLineChars="200"/>
        <w:rPr>
          <w:rFonts w:ascii="Times New Roman" w:hAnsi="Times New Roman"/>
          <w:b/>
          <w:sz w:val="24"/>
        </w:rPr>
      </w:pPr>
      <w:r>
        <w:rPr>
          <w:rFonts w:hint="eastAsia" w:ascii="Times New Roman" w:hAnsi="Times New Roman"/>
          <w:b/>
          <w:sz w:val="24"/>
        </w:rPr>
        <w:t>重要说明：采购人在签订合同前有权依据招标文件要求和项目实际情况对以下合同内容进行删改或补充。</w:t>
      </w:r>
    </w:p>
    <w:p w14:paraId="4CDBE751">
      <w:pPr>
        <w:adjustRightInd w:val="0"/>
        <w:snapToGrid w:val="0"/>
        <w:spacing w:line="360" w:lineRule="auto"/>
        <w:ind w:firstLine="422" w:firstLineChars="200"/>
        <w:rPr>
          <w:rFonts w:ascii="宋体" w:hAnsi="宋体"/>
          <w:b/>
          <w:bCs/>
          <w:szCs w:val="21"/>
        </w:rPr>
      </w:pPr>
    </w:p>
    <w:p w14:paraId="5D639082">
      <w:pPr>
        <w:adjustRightInd w:val="0"/>
        <w:snapToGrid w:val="0"/>
        <w:spacing w:line="360" w:lineRule="auto"/>
        <w:ind w:firstLine="422" w:firstLineChars="200"/>
        <w:rPr>
          <w:rFonts w:ascii="宋体" w:hAnsi="宋体"/>
          <w:b/>
          <w:bCs/>
          <w:szCs w:val="21"/>
        </w:rPr>
      </w:pPr>
      <w:r>
        <w:rPr>
          <w:rFonts w:hint="eastAsia" w:ascii="宋体" w:hAnsi="宋体"/>
          <w:b/>
          <w:bCs/>
          <w:szCs w:val="21"/>
        </w:rPr>
        <w:t xml:space="preserve">采购人（甲方）：   </w:t>
      </w:r>
    </w:p>
    <w:p w14:paraId="48BEF725">
      <w:pPr>
        <w:adjustRightInd w:val="0"/>
        <w:snapToGrid w:val="0"/>
        <w:spacing w:line="360" w:lineRule="auto"/>
        <w:ind w:firstLine="422" w:firstLineChars="200"/>
        <w:rPr>
          <w:rFonts w:ascii="宋体" w:hAnsi="宋体"/>
          <w:b/>
          <w:bCs/>
          <w:szCs w:val="21"/>
        </w:rPr>
      </w:pPr>
      <w:r>
        <w:rPr>
          <w:rFonts w:hint="eastAsia" w:ascii="宋体" w:hAnsi="宋体"/>
          <w:b/>
          <w:bCs/>
          <w:szCs w:val="21"/>
        </w:rPr>
        <w:t xml:space="preserve">中标人（乙方）：                                       </w:t>
      </w:r>
    </w:p>
    <w:p w14:paraId="1EC2B9FB">
      <w:pPr>
        <w:adjustRightInd w:val="0"/>
        <w:snapToGrid w:val="0"/>
        <w:spacing w:line="360" w:lineRule="auto"/>
        <w:rPr>
          <w:rFonts w:ascii="宋体" w:hAnsi="宋体"/>
          <w:szCs w:val="21"/>
        </w:rPr>
      </w:pPr>
    </w:p>
    <w:p w14:paraId="0102819F">
      <w:pPr>
        <w:snapToGrid w:val="0"/>
        <w:spacing w:line="360" w:lineRule="auto"/>
        <w:ind w:firstLine="420" w:firstLineChars="200"/>
        <w:rPr>
          <w:rFonts w:ascii="宋体" w:hAnsi="宋体"/>
          <w:szCs w:val="21"/>
        </w:rPr>
      </w:pPr>
      <w:r>
        <w:rPr>
          <w:rFonts w:hint="eastAsia" w:ascii="宋体" w:hAnsi="宋体"/>
          <w:szCs w:val="21"/>
        </w:rPr>
        <w:t>根据</w:t>
      </w:r>
      <w:r>
        <w:rPr>
          <w:rFonts w:hint="eastAsia" w:ascii="宋体" w:hAnsi="宋体"/>
          <w:szCs w:val="21"/>
          <w:u w:val="single"/>
        </w:rPr>
        <w:t xml:space="preserve">                </w:t>
      </w:r>
      <w:r>
        <w:rPr>
          <w:rFonts w:hint="eastAsia" w:ascii="宋体" w:hAnsi="宋体"/>
          <w:szCs w:val="21"/>
        </w:rPr>
        <w:t>招标项目（项目编号__________________）的中标结果，由_______________________单位为中标人。</w:t>
      </w:r>
      <w:r>
        <w:rPr>
          <w:rFonts w:hint="eastAsia" w:asciiTheme="minorEastAsia" w:hAnsiTheme="minorEastAsia"/>
          <w:szCs w:val="21"/>
        </w:rPr>
        <w:t>根据《中华人民共和国政府采购法》、《深圳经济特区政府采购条例》、《中华人民共和国民法典》之规定</w:t>
      </w:r>
      <w:r>
        <w:rPr>
          <w:rFonts w:hint="eastAsia" w:ascii="宋体" w:hAnsi="宋体"/>
          <w:szCs w:val="21"/>
        </w:rPr>
        <w:t>，经_______________________（以下简称采购人）和_______________________（以下简称中标人）协商，就_______________________</w:t>
      </w:r>
      <w:r>
        <w:rPr>
          <w:rFonts w:hint="eastAsia" w:ascii="宋体" w:hAnsi="宋体"/>
          <w:bCs/>
          <w:snapToGrid w:val="0"/>
          <w:kern w:val="0"/>
          <w:szCs w:val="21"/>
          <w:lang w:val="zh-CN"/>
        </w:rPr>
        <w:t>项目</w:t>
      </w:r>
      <w:r>
        <w:rPr>
          <w:rFonts w:hint="eastAsia" w:ascii="宋体" w:hAnsi="宋体"/>
          <w:szCs w:val="21"/>
        </w:rPr>
        <w:t>，达成以下合同条款：</w:t>
      </w:r>
    </w:p>
    <w:p w14:paraId="6FB780C9">
      <w:pPr>
        <w:pStyle w:val="23"/>
        <w:snapToGrid w:val="0"/>
        <w:spacing w:line="360" w:lineRule="auto"/>
        <w:ind w:firstLine="422" w:firstLineChars="200"/>
        <w:rPr>
          <w:rFonts w:hAnsi="宋体"/>
          <w:b/>
          <w:sz w:val="21"/>
          <w:szCs w:val="21"/>
        </w:rPr>
      </w:pPr>
      <w:r>
        <w:rPr>
          <w:rFonts w:hint="eastAsia" w:hAnsi="宋体"/>
          <w:b/>
          <w:sz w:val="21"/>
          <w:szCs w:val="21"/>
        </w:rPr>
        <w:t>一、服务内容</w:t>
      </w:r>
    </w:p>
    <w:p w14:paraId="299A0D23">
      <w:pPr>
        <w:spacing w:line="360" w:lineRule="auto"/>
        <w:ind w:firstLine="422" w:firstLineChars="201"/>
        <w:rPr>
          <w:rFonts w:ascii="宋体" w:hAnsi="宋体"/>
          <w:szCs w:val="21"/>
        </w:rPr>
      </w:pPr>
      <w:r>
        <w:rPr>
          <w:rFonts w:hint="eastAsia" w:ascii="宋体" w:hAnsi="宋体"/>
          <w:szCs w:val="21"/>
        </w:rPr>
        <w:t>______________________</w:t>
      </w:r>
    </w:p>
    <w:p w14:paraId="3D3AC7B8">
      <w:pPr>
        <w:pStyle w:val="23"/>
        <w:snapToGrid w:val="0"/>
        <w:spacing w:line="360" w:lineRule="auto"/>
        <w:ind w:firstLine="422" w:firstLineChars="200"/>
        <w:rPr>
          <w:rFonts w:hAnsi="宋体"/>
          <w:b/>
          <w:sz w:val="21"/>
          <w:szCs w:val="21"/>
        </w:rPr>
      </w:pPr>
      <w:r>
        <w:rPr>
          <w:rFonts w:hint="eastAsia" w:hAnsi="宋体"/>
          <w:b/>
          <w:sz w:val="21"/>
          <w:szCs w:val="21"/>
        </w:rPr>
        <w:t>二、合同金额</w:t>
      </w:r>
    </w:p>
    <w:p w14:paraId="7849A934">
      <w:pPr>
        <w:pStyle w:val="23"/>
        <w:snapToGrid w:val="0"/>
        <w:spacing w:line="360" w:lineRule="auto"/>
        <w:ind w:firstLine="420" w:firstLineChars="200"/>
        <w:rPr>
          <w:rFonts w:hAnsi="宋体"/>
          <w:sz w:val="21"/>
          <w:szCs w:val="21"/>
        </w:rPr>
      </w:pPr>
      <w:r>
        <w:rPr>
          <w:rFonts w:hint="eastAsia" w:hAnsi="宋体"/>
          <w:sz w:val="21"/>
          <w:szCs w:val="21"/>
        </w:rPr>
        <w:t>本合同金额为（大写）：____________________________________元（￥_______________元）人民币。</w:t>
      </w:r>
    </w:p>
    <w:p w14:paraId="4CD837A8">
      <w:pPr>
        <w:pStyle w:val="23"/>
        <w:snapToGrid w:val="0"/>
        <w:spacing w:line="360" w:lineRule="auto"/>
        <w:ind w:firstLine="422" w:firstLineChars="200"/>
        <w:rPr>
          <w:rFonts w:hAnsi="宋体"/>
          <w:b/>
          <w:sz w:val="21"/>
          <w:szCs w:val="21"/>
        </w:rPr>
      </w:pPr>
      <w:r>
        <w:rPr>
          <w:rFonts w:hint="eastAsia" w:hAnsi="宋体"/>
          <w:b/>
          <w:sz w:val="21"/>
          <w:szCs w:val="21"/>
        </w:rPr>
        <w:t>三、技术资料</w:t>
      </w:r>
    </w:p>
    <w:p w14:paraId="1F6D4AAF">
      <w:pPr>
        <w:pStyle w:val="23"/>
        <w:snapToGrid w:val="0"/>
        <w:spacing w:line="360" w:lineRule="auto"/>
        <w:ind w:firstLine="420" w:firstLineChars="200"/>
        <w:rPr>
          <w:rFonts w:hAnsi="宋体"/>
          <w:sz w:val="21"/>
          <w:szCs w:val="21"/>
        </w:rPr>
      </w:pPr>
      <w:r>
        <w:rPr>
          <w:rFonts w:hint="eastAsia" w:hAnsi="宋体"/>
          <w:sz w:val="21"/>
          <w:szCs w:val="21"/>
        </w:rPr>
        <w:t>1、中标人应按招标文件规定的时间向采购人提供有关技术资料。</w:t>
      </w:r>
    </w:p>
    <w:p w14:paraId="39522E73">
      <w:pPr>
        <w:pStyle w:val="23"/>
        <w:snapToGrid w:val="0"/>
        <w:spacing w:line="360" w:lineRule="auto"/>
        <w:ind w:firstLine="420" w:firstLineChars="200"/>
        <w:rPr>
          <w:rFonts w:hAnsi="宋体"/>
          <w:sz w:val="21"/>
          <w:szCs w:val="21"/>
        </w:rPr>
      </w:pPr>
      <w:r>
        <w:rPr>
          <w:rFonts w:hint="eastAsia" w:hAnsi="宋体"/>
          <w:sz w:val="21"/>
          <w:szCs w:val="21"/>
        </w:rPr>
        <w:t>2、没有采购人事先书面同意，中标人不得将由采购人提供的有关合同或任何合同条文、项目资料提供给与履行本合同无关的任何其他人。即使向履行本合同有关的人员提供，也应注意保密并限于履行合同的必需范围。</w:t>
      </w:r>
    </w:p>
    <w:p w14:paraId="18B81769">
      <w:pPr>
        <w:pStyle w:val="23"/>
        <w:snapToGrid w:val="0"/>
        <w:spacing w:line="360" w:lineRule="auto"/>
        <w:ind w:firstLine="420" w:firstLineChars="200"/>
        <w:rPr>
          <w:rFonts w:hAnsi="宋体"/>
          <w:sz w:val="21"/>
          <w:szCs w:val="21"/>
        </w:rPr>
      </w:pPr>
      <w:r>
        <w:rPr>
          <w:rFonts w:hint="eastAsia" w:hAnsi="宋体"/>
          <w:sz w:val="21"/>
          <w:szCs w:val="21"/>
        </w:rPr>
        <w:t>3、合同履行完毕，未经采购人的书面同意，中标人不得保存在履行合同过程中所获得或接触到的任何内部数据资料。</w:t>
      </w:r>
    </w:p>
    <w:p w14:paraId="1BF018D4">
      <w:pPr>
        <w:pStyle w:val="23"/>
        <w:snapToGrid w:val="0"/>
        <w:spacing w:line="360" w:lineRule="auto"/>
        <w:ind w:firstLine="422" w:firstLineChars="200"/>
        <w:rPr>
          <w:rFonts w:hAnsi="宋体"/>
          <w:b/>
          <w:sz w:val="21"/>
          <w:szCs w:val="21"/>
        </w:rPr>
      </w:pPr>
      <w:r>
        <w:rPr>
          <w:rFonts w:hint="eastAsia" w:hAnsi="宋体"/>
          <w:b/>
          <w:sz w:val="21"/>
          <w:szCs w:val="21"/>
        </w:rPr>
        <w:t>四、知识产权</w:t>
      </w:r>
    </w:p>
    <w:p w14:paraId="5B4250F6">
      <w:pPr>
        <w:pStyle w:val="23"/>
        <w:snapToGrid w:val="0"/>
        <w:spacing w:line="360" w:lineRule="auto"/>
        <w:ind w:firstLine="420" w:firstLineChars="200"/>
        <w:rPr>
          <w:rFonts w:hAnsi="宋体"/>
          <w:bCs/>
          <w:sz w:val="21"/>
          <w:szCs w:val="21"/>
        </w:rPr>
      </w:pPr>
      <w:r>
        <w:rPr>
          <w:rFonts w:hint="eastAsia" w:hAnsi="宋体"/>
          <w:sz w:val="21"/>
          <w:szCs w:val="21"/>
        </w:rPr>
        <w:t>中标人应保证提供服务过程中不会侵犯任何第三方的知识产权</w:t>
      </w:r>
      <w:r>
        <w:rPr>
          <w:rFonts w:hint="eastAsia" w:hAnsi="宋体"/>
          <w:bCs/>
          <w:sz w:val="21"/>
          <w:szCs w:val="21"/>
        </w:rPr>
        <w:t>。</w:t>
      </w:r>
      <w:r>
        <w:rPr>
          <w:rFonts w:hint="eastAsia" w:hAnsi="宋体"/>
          <w:sz w:val="21"/>
          <w:szCs w:val="21"/>
          <w:lang w:val="en-US" w:eastAsia="zh-CN"/>
        </w:rPr>
        <w:t>若因中标人侵犯第三人知识产权导致的纠纷或者赔偿，由中标人负责；如因此给采购人造成损失，还应当赔偿采购人的损失</w:t>
      </w:r>
      <w:r>
        <w:rPr>
          <w:rFonts w:hint="eastAsia" w:hAnsi="宋体"/>
          <w:bCs/>
          <w:sz w:val="21"/>
          <w:szCs w:val="21"/>
        </w:rPr>
        <w:t>。</w:t>
      </w:r>
    </w:p>
    <w:p w14:paraId="19913FD5">
      <w:pPr>
        <w:pStyle w:val="23"/>
        <w:snapToGrid w:val="0"/>
        <w:spacing w:line="360" w:lineRule="auto"/>
        <w:ind w:firstLine="422" w:firstLineChars="200"/>
        <w:rPr>
          <w:rFonts w:hAnsi="宋体"/>
          <w:b/>
          <w:sz w:val="21"/>
          <w:szCs w:val="21"/>
        </w:rPr>
      </w:pPr>
      <w:r>
        <w:rPr>
          <w:rFonts w:hint="eastAsia" w:hAnsi="宋体"/>
          <w:b/>
          <w:sz w:val="21"/>
          <w:szCs w:val="21"/>
        </w:rPr>
        <w:t>五、履约保证金</w:t>
      </w:r>
    </w:p>
    <w:p w14:paraId="1817011F">
      <w:pPr>
        <w:snapToGrid w:val="0"/>
        <w:spacing w:line="360" w:lineRule="auto"/>
        <w:ind w:firstLine="422" w:firstLineChars="200"/>
        <w:rPr>
          <w:rFonts w:ascii="宋体" w:hAnsi="宋体"/>
          <w:b/>
          <w:szCs w:val="21"/>
        </w:rPr>
      </w:pPr>
      <w:r>
        <w:rPr>
          <w:rFonts w:hint="eastAsia" w:ascii="宋体" w:hAnsi="宋体"/>
          <w:b/>
          <w:szCs w:val="21"/>
        </w:rPr>
        <w:t>六、采购人的权利与义务</w:t>
      </w:r>
    </w:p>
    <w:p w14:paraId="3CFEA2FC">
      <w:pPr>
        <w:snapToGrid w:val="0"/>
        <w:spacing w:line="360" w:lineRule="auto"/>
        <w:ind w:firstLine="420" w:firstLineChars="200"/>
        <w:rPr>
          <w:rFonts w:ascii="宋体" w:hAnsi="宋体"/>
          <w:szCs w:val="21"/>
        </w:rPr>
      </w:pPr>
      <w:r>
        <w:rPr>
          <w:rFonts w:hint="eastAsia" w:ascii="宋体" w:hAnsi="宋体"/>
          <w:szCs w:val="21"/>
        </w:rPr>
        <w:t>1、_______________________</w:t>
      </w:r>
    </w:p>
    <w:p w14:paraId="35A92F35">
      <w:pPr>
        <w:snapToGrid w:val="0"/>
        <w:spacing w:line="360" w:lineRule="auto"/>
        <w:ind w:firstLine="420" w:firstLineChars="200"/>
        <w:rPr>
          <w:rFonts w:ascii="宋体" w:hAnsi="宋体"/>
          <w:szCs w:val="21"/>
        </w:rPr>
      </w:pPr>
      <w:r>
        <w:rPr>
          <w:rFonts w:hint="eastAsia" w:ascii="宋体" w:hAnsi="宋体"/>
          <w:szCs w:val="21"/>
        </w:rPr>
        <w:t>2、_______________________</w:t>
      </w:r>
    </w:p>
    <w:p w14:paraId="1079ABC5">
      <w:pPr>
        <w:snapToGrid w:val="0"/>
        <w:spacing w:line="360" w:lineRule="auto"/>
        <w:ind w:firstLine="420" w:firstLineChars="200"/>
        <w:rPr>
          <w:rFonts w:ascii="宋体" w:hAnsi="宋体"/>
          <w:szCs w:val="21"/>
        </w:rPr>
      </w:pPr>
      <w:r>
        <w:rPr>
          <w:rFonts w:hint="eastAsia" w:ascii="宋体" w:hAnsi="宋体"/>
          <w:szCs w:val="21"/>
        </w:rPr>
        <w:t>3、_______________________</w:t>
      </w:r>
    </w:p>
    <w:p w14:paraId="59E50D7E">
      <w:pPr>
        <w:snapToGrid w:val="0"/>
        <w:spacing w:line="360" w:lineRule="auto"/>
        <w:ind w:firstLine="420" w:firstLineChars="200"/>
        <w:rPr>
          <w:rFonts w:ascii="宋体" w:hAnsi="宋体"/>
          <w:szCs w:val="21"/>
        </w:rPr>
      </w:pPr>
      <w:r>
        <w:rPr>
          <w:rFonts w:hint="eastAsia" w:ascii="宋体" w:hAnsi="宋体"/>
          <w:szCs w:val="21"/>
        </w:rPr>
        <w:t>4、_______________________</w:t>
      </w:r>
    </w:p>
    <w:p w14:paraId="4ED2ACCD">
      <w:pPr>
        <w:snapToGrid w:val="0"/>
        <w:spacing w:line="360" w:lineRule="auto"/>
        <w:ind w:firstLine="420" w:firstLineChars="200"/>
        <w:rPr>
          <w:rFonts w:ascii="宋体" w:hAnsi="宋体"/>
          <w:szCs w:val="21"/>
        </w:rPr>
      </w:pPr>
      <w:r>
        <w:rPr>
          <w:rFonts w:hint="eastAsia" w:ascii="宋体" w:hAnsi="宋体"/>
          <w:szCs w:val="21"/>
        </w:rPr>
        <w:t>5、采购人的其它权利与义务_______________________</w:t>
      </w:r>
    </w:p>
    <w:p w14:paraId="084F0F03">
      <w:pPr>
        <w:snapToGrid w:val="0"/>
        <w:spacing w:line="360" w:lineRule="auto"/>
        <w:ind w:firstLine="422" w:firstLineChars="200"/>
        <w:rPr>
          <w:rFonts w:ascii="宋体" w:hAnsi="宋体"/>
          <w:b/>
          <w:szCs w:val="21"/>
        </w:rPr>
      </w:pPr>
      <w:r>
        <w:rPr>
          <w:rFonts w:hint="eastAsia" w:ascii="宋体" w:hAnsi="宋体"/>
          <w:b/>
          <w:szCs w:val="21"/>
        </w:rPr>
        <w:t>七、中标人的权利与义务</w:t>
      </w:r>
    </w:p>
    <w:p w14:paraId="11F15032">
      <w:pPr>
        <w:snapToGrid w:val="0"/>
        <w:spacing w:line="360" w:lineRule="auto"/>
        <w:ind w:firstLine="420" w:firstLineChars="200"/>
        <w:rPr>
          <w:rFonts w:ascii="宋体" w:hAnsi="宋体"/>
          <w:szCs w:val="21"/>
        </w:rPr>
      </w:pPr>
      <w:r>
        <w:rPr>
          <w:rFonts w:hint="eastAsia" w:ascii="宋体" w:hAnsi="宋体"/>
          <w:szCs w:val="21"/>
        </w:rPr>
        <w:t>1、_______________________</w:t>
      </w:r>
    </w:p>
    <w:p w14:paraId="4A9025D0">
      <w:pPr>
        <w:snapToGrid w:val="0"/>
        <w:spacing w:line="360" w:lineRule="auto"/>
        <w:ind w:firstLine="420" w:firstLineChars="200"/>
        <w:rPr>
          <w:rFonts w:ascii="宋体" w:hAnsi="宋体"/>
          <w:szCs w:val="21"/>
        </w:rPr>
      </w:pPr>
      <w:r>
        <w:rPr>
          <w:rFonts w:hint="eastAsia" w:ascii="宋体" w:hAnsi="宋体"/>
          <w:szCs w:val="21"/>
        </w:rPr>
        <w:t>2、_______________________</w:t>
      </w:r>
    </w:p>
    <w:p w14:paraId="45B83D56">
      <w:pPr>
        <w:snapToGrid w:val="0"/>
        <w:spacing w:line="360" w:lineRule="auto"/>
        <w:ind w:firstLine="420" w:firstLineChars="200"/>
        <w:rPr>
          <w:rFonts w:ascii="宋体" w:hAnsi="宋体"/>
          <w:szCs w:val="21"/>
        </w:rPr>
      </w:pPr>
      <w:r>
        <w:rPr>
          <w:rFonts w:hint="eastAsia" w:ascii="宋体" w:hAnsi="宋体"/>
          <w:szCs w:val="21"/>
        </w:rPr>
        <w:t>3、_______________________</w:t>
      </w:r>
    </w:p>
    <w:p w14:paraId="53545FA4">
      <w:pPr>
        <w:snapToGrid w:val="0"/>
        <w:spacing w:line="360" w:lineRule="auto"/>
        <w:ind w:firstLine="420" w:firstLineChars="200"/>
        <w:rPr>
          <w:rFonts w:ascii="宋体" w:hAnsi="宋体"/>
          <w:szCs w:val="21"/>
        </w:rPr>
      </w:pPr>
      <w:r>
        <w:rPr>
          <w:rFonts w:hint="eastAsia" w:ascii="宋体" w:hAnsi="宋体"/>
          <w:szCs w:val="21"/>
        </w:rPr>
        <w:t>4、_______________________</w:t>
      </w:r>
    </w:p>
    <w:p w14:paraId="450BB5D7">
      <w:pPr>
        <w:snapToGrid w:val="0"/>
        <w:spacing w:line="360" w:lineRule="auto"/>
        <w:ind w:firstLine="420" w:firstLineChars="200"/>
        <w:rPr>
          <w:rFonts w:ascii="宋体" w:hAnsi="宋体"/>
          <w:szCs w:val="21"/>
        </w:rPr>
      </w:pPr>
      <w:r>
        <w:rPr>
          <w:rFonts w:hint="eastAsia" w:ascii="宋体" w:hAnsi="宋体"/>
          <w:szCs w:val="21"/>
        </w:rPr>
        <w:t>5、中标人的其它权利与义务_______________________</w:t>
      </w:r>
    </w:p>
    <w:p w14:paraId="1C46F99A">
      <w:pPr>
        <w:pStyle w:val="23"/>
        <w:snapToGrid w:val="0"/>
        <w:spacing w:line="360" w:lineRule="auto"/>
        <w:ind w:firstLine="422" w:firstLineChars="200"/>
        <w:rPr>
          <w:rFonts w:hAnsi="宋体"/>
          <w:b/>
          <w:sz w:val="21"/>
          <w:szCs w:val="21"/>
        </w:rPr>
      </w:pPr>
      <w:r>
        <w:rPr>
          <w:rFonts w:hint="eastAsia" w:hAnsi="宋体"/>
          <w:b/>
          <w:sz w:val="21"/>
          <w:szCs w:val="21"/>
        </w:rPr>
        <w:t>八、合同履行时间、履行方式及履行地点</w:t>
      </w:r>
    </w:p>
    <w:p w14:paraId="73487185">
      <w:pPr>
        <w:pStyle w:val="23"/>
        <w:snapToGrid w:val="0"/>
        <w:spacing w:line="360" w:lineRule="auto"/>
        <w:ind w:firstLine="420" w:firstLineChars="200"/>
        <w:rPr>
          <w:rFonts w:hAnsi="宋体"/>
          <w:bCs/>
          <w:sz w:val="21"/>
          <w:szCs w:val="21"/>
        </w:rPr>
      </w:pPr>
      <w:r>
        <w:rPr>
          <w:rFonts w:hint="eastAsia" w:hAnsi="宋体"/>
          <w:bCs/>
          <w:sz w:val="21"/>
          <w:szCs w:val="21"/>
        </w:rPr>
        <w:t>1、</w:t>
      </w:r>
      <w:r>
        <w:rPr>
          <w:rFonts w:hint="eastAsia" w:hAnsi="宋体"/>
          <w:sz w:val="21"/>
          <w:szCs w:val="21"/>
        </w:rPr>
        <w:t>履行时间</w:t>
      </w:r>
      <w:r>
        <w:rPr>
          <w:rFonts w:hint="eastAsia" w:hAnsi="宋体"/>
          <w:bCs/>
          <w:sz w:val="21"/>
          <w:szCs w:val="21"/>
        </w:rPr>
        <w:t>：</w:t>
      </w:r>
      <w:r>
        <w:rPr>
          <w:rFonts w:hint="eastAsia" w:hAnsi="宋体"/>
          <w:sz w:val="21"/>
          <w:szCs w:val="21"/>
        </w:rPr>
        <w:t>______________________</w:t>
      </w:r>
    </w:p>
    <w:p w14:paraId="6B3A6247">
      <w:pPr>
        <w:pStyle w:val="23"/>
        <w:snapToGrid w:val="0"/>
        <w:spacing w:line="360" w:lineRule="auto"/>
        <w:ind w:firstLine="420" w:firstLineChars="200"/>
        <w:rPr>
          <w:rFonts w:hAnsi="宋体"/>
          <w:bCs/>
          <w:sz w:val="21"/>
          <w:szCs w:val="21"/>
        </w:rPr>
      </w:pPr>
      <w:r>
        <w:rPr>
          <w:rFonts w:hint="eastAsia" w:hAnsi="宋体"/>
          <w:bCs/>
          <w:sz w:val="21"/>
          <w:szCs w:val="21"/>
        </w:rPr>
        <w:t>2、</w:t>
      </w:r>
      <w:r>
        <w:rPr>
          <w:rFonts w:hint="eastAsia" w:hAnsi="宋体"/>
          <w:sz w:val="21"/>
          <w:szCs w:val="21"/>
        </w:rPr>
        <w:t>履行方式</w:t>
      </w:r>
      <w:r>
        <w:rPr>
          <w:rFonts w:hint="eastAsia" w:hAnsi="宋体"/>
          <w:bCs/>
          <w:sz w:val="21"/>
          <w:szCs w:val="21"/>
        </w:rPr>
        <w:t>：</w:t>
      </w:r>
      <w:r>
        <w:rPr>
          <w:rFonts w:hint="eastAsia" w:hAnsi="宋体"/>
          <w:sz w:val="21"/>
          <w:szCs w:val="21"/>
        </w:rPr>
        <w:t>______________________</w:t>
      </w:r>
    </w:p>
    <w:p w14:paraId="44884DD2">
      <w:pPr>
        <w:pStyle w:val="23"/>
        <w:snapToGrid w:val="0"/>
        <w:spacing w:line="360" w:lineRule="auto"/>
        <w:ind w:firstLine="420" w:firstLineChars="200"/>
        <w:rPr>
          <w:rFonts w:hAnsi="宋体"/>
          <w:sz w:val="21"/>
          <w:szCs w:val="21"/>
        </w:rPr>
      </w:pPr>
      <w:r>
        <w:rPr>
          <w:rFonts w:hint="eastAsia" w:hAnsi="宋体"/>
          <w:bCs/>
          <w:sz w:val="21"/>
          <w:szCs w:val="21"/>
        </w:rPr>
        <w:t>3、</w:t>
      </w:r>
      <w:r>
        <w:rPr>
          <w:rFonts w:hint="eastAsia" w:hAnsi="宋体"/>
          <w:sz w:val="21"/>
          <w:szCs w:val="21"/>
        </w:rPr>
        <w:t>履行地点</w:t>
      </w:r>
      <w:r>
        <w:rPr>
          <w:rFonts w:hint="eastAsia" w:hAnsi="宋体"/>
          <w:bCs/>
          <w:sz w:val="21"/>
          <w:szCs w:val="21"/>
        </w:rPr>
        <w:t>：</w:t>
      </w:r>
      <w:r>
        <w:rPr>
          <w:rFonts w:hint="eastAsia" w:hAnsi="宋体"/>
          <w:sz w:val="21"/>
          <w:szCs w:val="21"/>
          <w:u w:val="single"/>
        </w:rPr>
        <w:t>深圳市</w:t>
      </w:r>
    </w:p>
    <w:p w14:paraId="27680EC0">
      <w:pPr>
        <w:snapToGrid w:val="0"/>
        <w:spacing w:line="360" w:lineRule="auto"/>
        <w:ind w:firstLine="422" w:firstLineChars="200"/>
        <w:rPr>
          <w:rFonts w:ascii="宋体" w:hAnsi="宋体"/>
          <w:b/>
          <w:szCs w:val="21"/>
        </w:rPr>
      </w:pPr>
      <w:r>
        <w:rPr>
          <w:rFonts w:hint="eastAsia" w:ascii="宋体" w:hAnsi="宋体"/>
          <w:b/>
          <w:szCs w:val="21"/>
        </w:rPr>
        <w:t>九、验收</w:t>
      </w:r>
    </w:p>
    <w:p w14:paraId="033EB4CA">
      <w:pPr>
        <w:snapToGrid w:val="0"/>
        <w:spacing w:line="360" w:lineRule="auto"/>
        <w:ind w:firstLine="420" w:firstLineChars="200"/>
        <w:rPr>
          <w:rFonts w:ascii="宋体" w:hAnsi="宋体"/>
          <w:szCs w:val="21"/>
        </w:rPr>
      </w:pPr>
      <w:r>
        <w:rPr>
          <w:rFonts w:hint="eastAsia" w:ascii="宋体" w:hAnsi="宋体"/>
          <w:szCs w:val="21"/>
        </w:rPr>
        <w:t>1、下列文件的验收分为______个阶段:</w:t>
      </w:r>
    </w:p>
    <w:p w14:paraId="5B1BFF71">
      <w:pPr>
        <w:snapToGrid w:val="0"/>
        <w:spacing w:line="360" w:lineRule="auto"/>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14:paraId="3C2C5F8C">
      <w:pPr>
        <w:snapToGrid w:val="0"/>
        <w:spacing w:line="360" w:lineRule="auto"/>
        <w:ind w:firstLine="420" w:firstLineChars="200"/>
        <w:rPr>
          <w:rFonts w:ascii="宋体" w:hAnsi="宋体"/>
          <w:szCs w:val="21"/>
        </w:rPr>
      </w:pPr>
      <w:r>
        <w:rPr>
          <w:rFonts w:hint="eastAsia" w:ascii="宋体" w:hAnsi="宋体"/>
          <w:szCs w:val="21"/>
        </w:rPr>
        <w:t>3、验收依据为招标文件、中标人投标文件，国家和行业有关规范、规程和标准。</w:t>
      </w:r>
    </w:p>
    <w:p w14:paraId="1CFD8F3F">
      <w:pPr>
        <w:pStyle w:val="23"/>
        <w:snapToGrid w:val="0"/>
        <w:spacing w:line="360" w:lineRule="auto"/>
        <w:ind w:firstLine="422" w:firstLineChars="200"/>
        <w:rPr>
          <w:rFonts w:hAnsi="宋体"/>
          <w:b/>
          <w:sz w:val="21"/>
          <w:szCs w:val="21"/>
        </w:rPr>
      </w:pPr>
      <w:r>
        <w:rPr>
          <w:rFonts w:hint="eastAsia" w:hAnsi="宋体"/>
          <w:b/>
          <w:sz w:val="21"/>
          <w:szCs w:val="21"/>
        </w:rPr>
        <w:t>十、付款方式和税费</w:t>
      </w:r>
    </w:p>
    <w:p w14:paraId="4611C160">
      <w:pPr>
        <w:pStyle w:val="23"/>
        <w:snapToGrid w:val="0"/>
        <w:spacing w:line="360" w:lineRule="auto"/>
        <w:ind w:firstLine="420" w:firstLineChars="200"/>
        <w:rPr>
          <w:rFonts w:hAnsi="宋体"/>
          <w:bCs/>
          <w:sz w:val="21"/>
          <w:szCs w:val="21"/>
        </w:rPr>
      </w:pPr>
      <w:r>
        <w:rPr>
          <w:rFonts w:hAnsi="宋体" w:cs="宋体"/>
          <w:sz w:val="21"/>
          <w:szCs w:val="21"/>
        </w:rPr>
        <w:t>本合同付款方式为</w:t>
      </w:r>
      <w:r>
        <w:rPr>
          <w:rFonts w:hint="eastAsia" w:hAnsi="宋体" w:cs="宋体"/>
          <w:sz w:val="21"/>
          <w:szCs w:val="21"/>
        </w:rPr>
        <w:t>：</w:t>
      </w:r>
      <w:r>
        <w:rPr>
          <w:rFonts w:hint="eastAsia" w:hAnsi="宋体" w:cs="宋体"/>
          <w:sz w:val="21"/>
          <w:szCs w:val="21"/>
          <w:u w:val="single"/>
        </w:rPr>
        <w:t xml:space="preserve">                </w:t>
      </w:r>
      <w:r>
        <w:rPr>
          <w:rFonts w:hint="eastAsia" w:hAnsi="宋体"/>
          <w:bCs/>
          <w:sz w:val="21"/>
          <w:szCs w:val="21"/>
        </w:rPr>
        <w:t>。</w:t>
      </w:r>
    </w:p>
    <w:p w14:paraId="75135A8C">
      <w:pPr>
        <w:snapToGrid w:val="0"/>
        <w:spacing w:line="360" w:lineRule="auto"/>
        <w:ind w:firstLine="420" w:firstLineChars="200"/>
        <w:rPr>
          <w:rFonts w:ascii="宋体" w:hAnsi="宋体"/>
          <w:szCs w:val="21"/>
        </w:rPr>
      </w:pPr>
      <w:r>
        <w:rPr>
          <w:rFonts w:hint="eastAsia" w:ascii="宋体" w:hAnsi="宋体"/>
          <w:szCs w:val="21"/>
        </w:rPr>
        <w:t>本合同执行中相关的一切税费均由中标人负担。</w:t>
      </w:r>
    </w:p>
    <w:p w14:paraId="69124152">
      <w:pPr>
        <w:snapToGrid w:val="0"/>
        <w:spacing w:line="360" w:lineRule="auto"/>
        <w:ind w:firstLine="422" w:firstLineChars="200"/>
        <w:rPr>
          <w:rFonts w:ascii="宋体" w:hAnsi="宋体"/>
          <w:b/>
          <w:bCs/>
          <w:szCs w:val="21"/>
        </w:rPr>
      </w:pPr>
      <w:r>
        <w:rPr>
          <w:rFonts w:hint="eastAsia" w:ascii="宋体" w:hAnsi="宋体"/>
          <w:b/>
          <w:szCs w:val="21"/>
        </w:rPr>
        <w:t>十一、</w:t>
      </w:r>
      <w:r>
        <w:rPr>
          <w:rFonts w:hint="eastAsia" w:ascii="宋体" w:hAnsi="宋体"/>
          <w:b/>
          <w:bCs/>
          <w:szCs w:val="21"/>
        </w:rPr>
        <w:t>争议解决办法</w:t>
      </w:r>
    </w:p>
    <w:p w14:paraId="1C6C1AF5">
      <w:pPr>
        <w:snapToGrid w:val="0"/>
        <w:spacing w:line="360" w:lineRule="auto"/>
        <w:ind w:firstLine="420" w:firstLineChars="200"/>
        <w:rPr>
          <w:rFonts w:ascii="宋体" w:hAnsi="宋体"/>
          <w:szCs w:val="21"/>
        </w:rPr>
      </w:pPr>
      <w:r>
        <w:rPr>
          <w:rFonts w:asciiTheme="minorEastAsia" w:hAnsiTheme="minorEastAsia"/>
          <w:szCs w:val="21"/>
        </w:rPr>
        <w:t>因履行本合同引起的或与本合同有关的争议，甲、乙双方应首先通过友好协商解决，如果协商不能解决争议，则向甲方所在地有管辖权的人民法院提起诉讼</w:t>
      </w:r>
      <w:r>
        <w:rPr>
          <w:rFonts w:hint="eastAsia" w:ascii="宋体" w:hAnsi="宋体"/>
          <w:szCs w:val="21"/>
        </w:rPr>
        <w:t>。</w:t>
      </w:r>
    </w:p>
    <w:p w14:paraId="6F74D3E5">
      <w:pPr>
        <w:pStyle w:val="23"/>
        <w:snapToGrid w:val="0"/>
        <w:spacing w:line="360" w:lineRule="auto"/>
        <w:ind w:firstLine="422" w:firstLineChars="200"/>
        <w:rPr>
          <w:rFonts w:hAnsi="宋体"/>
          <w:b/>
          <w:sz w:val="21"/>
          <w:szCs w:val="21"/>
        </w:rPr>
      </w:pPr>
      <w:r>
        <w:rPr>
          <w:rFonts w:hint="eastAsia" w:hAnsi="宋体"/>
          <w:b/>
          <w:sz w:val="21"/>
          <w:szCs w:val="21"/>
        </w:rPr>
        <w:t>十二、违约责任</w:t>
      </w:r>
    </w:p>
    <w:p w14:paraId="7DF45E50">
      <w:pPr>
        <w:pStyle w:val="23"/>
        <w:snapToGrid w:val="0"/>
        <w:spacing w:line="360" w:lineRule="auto"/>
        <w:ind w:firstLine="420" w:firstLineChars="200"/>
        <w:rPr>
          <w:rFonts w:hAnsi="宋体"/>
          <w:sz w:val="21"/>
          <w:szCs w:val="21"/>
        </w:rPr>
      </w:pPr>
      <w:r>
        <w:rPr>
          <w:rFonts w:hint="eastAsia" w:hAnsi="宋体"/>
          <w:sz w:val="21"/>
          <w:szCs w:val="21"/>
        </w:rPr>
        <w:t>1、因中标人原因，未能按规定完成本项目有关工作的，采购人可在支付合同余款中扣除合同价款</w:t>
      </w:r>
      <w:r>
        <w:rPr>
          <w:rFonts w:hint="eastAsia" w:hAnsi="宋体"/>
          <w:sz w:val="21"/>
          <w:szCs w:val="21"/>
          <w:u w:val="single"/>
        </w:rPr>
        <w:t xml:space="preserve">        </w:t>
      </w:r>
      <w:r>
        <w:rPr>
          <w:rFonts w:hint="eastAsia" w:hAnsi="宋体"/>
          <w:sz w:val="21"/>
          <w:szCs w:val="21"/>
        </w:rPr>
        <w:t>。</w:t>
      </w:r>
    </w:p>
    <w:p w14:paraId="49F4F1CE">
      <w:pPr>
        <w:snapToGrid w:val="0"/>
        <w:spacing w:line="360" w:lineRule="auto"/>
        <w:ind w:firstLine="420" w:firstLineChars="200"/>
        <w:rPr>
          <w:rFonts w:hint="eastAsia" w:ascii="宋体" w:hAnsi="宋体"/>
          <w:szCs w:val="21"/>
        </w:rPr>
      </w:pPr>
      <w:r>
        <w:rPr>
          <w:rFonts w:hint="eastAsia" w:ascii="宋体" w:hAnsi="宋体"/>
          <w:szCs w:val="21"/>
        </w:rPr>
        <w:t>2、__________方违反本合同__________约定，应当__________。</w:t>
      </w:r>
    </w:p>
    <w:p w14:paraId="56D9511C">
      <w:pPr>
        <w:pStyle w:val="2"/>
        <w:ind w:left="0" w:leftChars="0" w:firstLine="420" w:firstLineChars="200"/>
        <w:rPr>
          <w:rFonts w:hint="eastAsia" w:ascii="宋体" w:hAnsi="宋体" w:eastAsia="宋体" w:cs="Times New Roman"/>
          <w:smallCaps w:val="0"/>
          <w:kern w:val="0"/>
          <w:sz w:val="21"/>
          <w:szCs w:val="21"/>
          <w:lang w:val="en-US" w:eastAsia="zh-CN" w:bidi="ar-SA"/>
        </w:rPr>
      </w:pPr>
      <w:r>
        <w:rPr>
          <w:rFonts w:hint="eastAsia" w:ascii="宋体" w:hAnsi="宋体" w:eastAsia="宋体" w:cs="Times New Roman"/>
          <w:smallCaps w:val="0"/>
          <w:kern w:val="0"/>
          <w:sz w:val="21"/>
          <w:szCs w:val="21"/>
          <w:lang w:val="en-US" w:eastAsia="zh-CN" w:bidi="ar-SA"/>
        </w:rPr>
        <w:t>3、甲、乙任何一方违反本合同条款的，违约一方必须向相对方承担违约责任，因违约方的违约行为导致另一方无法继续履行本合同的，另一方有权终止本合同。违约方除承担赔偿因此造成对方的全部经济损失外，还须向对方支付本合同金额15%的违约金。</w:t>
      </w:r>
    </w:p>
    <w:p w14:paraId="256C6397">
      <w:pPr>
        <w:snapToGrid w:val="0"/>
        <w:spacing w:line="360" w:lineRule="auto"/>
        <w:ind w:firstLine="422" w:firstLineChars="200"/>
        <w:rPr>
          <w:rFonts w:ascii="宋体" w:hAnsi="宋体"/>
          <w:b/>
          <w:bCs/>
          <w:szCs w:val="21"/>
        </w:rPr>
      </w:pPr>
      <w:r>
        <w:rPr>
          <w:rFonts w:hint="eastAsia" w:ascii="宋体" w:hAnsi="宋体"/>
          <w:b/>
          <w:szCs w:val="21"/>
        </w:rPr>
        <w:t>十三、</w:t>
      </w:r>
      <w:r>
        <w:rPr>
          <w:rFonts w:hint="eastAsia" w:asciiTheme="minorEastAsia" w:hAnsiTheme="minorEastAsia"/>
          <w:b/>
          <w:szCs w:val="21"/>
        </w:rPr>
        <w:t>合同的变更、解除或终止</w:t>
      </w:r>
    </w:p>
    <w:p w14:paraId="0A9900C6">
      <w:pPr>
        <w:snapToGrid w:val="0"/>
        <w:spacing w:line="360" w:lineRule="auto"/>
        <w:ind w:firstLine="420" w:firstLineChars="200"/>
        <w:rPr>
          <w:rFonts w:ascii="宋体" w:hAnsi="宋体"/>
          <w:b/>
          <w:bCs/>
          <w:szCs w:val="21"/>
        </w:rPr>
      </w:pPr>
      <w:r>
        <w:rPr>
          <w:rFonts w:hint="eastAsia" w:ascii="宋体" w:hAnsi="宋体"/>
          <w:szCs w:val="21"/>
        </w:rPr>
        <w:t>除政府采购合同继续履行将损害国家利益和社会公共利益外，双方当事人不得擅自变更、中止或者终止合同</w:t>
      </w:r>
      <w:r>
        <w:rPr>
          <w:rFonts w:hint="eastAsia" w:ascii="宋体" w:hAnsi="宋体"/>
          <w:szCs w:val="21"/>
          <w:lang w:eastAsia="zh-CN"/>
        </w:rPr>
        <w:t>，</w:t>
      </w:r>
      <w:r>
        <w:rPr>
          <w:rFonts w:hint="eastAsia" w:ascii="宋体" w:hAnsi="宋体"/>
          <w:szCs w:val="21"/>
          <w:lang w:val="en-US" w:eastAsia="zh-CN"/>
        </w:rPr>
        <w:t>本</w:t>
      </w:r>
      <w:r>
        <w:rPr>
          <w:rFonts w:hint="eastAsia" w:ascii="宋体" w:hAnsi="宋体"/>
          <w:szCs w:val="21"/>
          <w:lang w:eastAsia="zh-CN"/>
        </w:rPr>
        <w:t>合同的变更、中止或者终止均需采取书面形式</w:t>
      </w:r>
      <w:r>
        <w:rPr>
          <w:rFonts w:hint="eastAsia" w:ascii="宋体" w:hAnsi="宋体"/>
          <w:szCs w:val="21"/>
        </w:rPr>
        <w:t>。</w:t>
      </w:r>
    </w:p>
    <w:p w14:paraId="62C561F4">
      <w:pPr>
        <w:snapToGrid w:val="0"/>
        <w:spacing w:line="360" w:lineRule="auto"/>
        <w:ind w:firstLine="422" w:firstLineChars="200"/>
        <w:rPr>
          <w:rFonts w:ascii="宋体" w:hAnsi="宋体"/>
          <w:b/>
          <w:bCs/>
          <w:szCs w:val="21"/>
        </w:rPr>
      </w:pPr>
      <w:r>
        <w:rPr>
          <w:rFonts w:hint="eastAsia" w:ascii="宋体" w:hAnsi="宋体"/>
          <w:b/>
          <w:szCs w:val="21"/>
        </w:rPr>
        <w:t>十四、</w:t>
      </w:r>
      <w:r>
        <w:rPr>
          <w:rFonts w:hint="eastAsia" w:asciiTheme="minorEastAsia" w:hAnsiTheme="minorEastAsia"/>
          <w:b/>
          <w:szCs w:val="21"/>
        </w:rPr>
        <w:t>合同生效及其他</w:t>
      </w:r>
    </w:p>
    <w:p w14:paraId="5450E9FD">
      <w:pPr>
        <w:snapToGrid w:val="0"/>
        <w:spacing w:line="360" w:lineRule="auto"/>
        <w:ind w:firstLine="420" w:firstLineChars="200"/>
        <w:rPr>
          <w:rFonts w:ascii="宋体" w:hAnsi="宋体"/>
          <w:szCs w:val="21"/>
        </w:rPr>
      </w:pPr>
      <w:r>
        <w:rPr>
          <w:rFonts w:hint="eastAsia" w:ascii="宋体" w:hAnsi="宋体"/>
          <w:szCs w:val="21"/>
        </w:rPr>
        <w:t>1、本合同与招标文件、中标人投标文件如有抵触之处，以本合同条款为准。</w:t>
      </w:r>
    </w:p>
    <w:p w14:paraId="41F3595B">
      <w:pPr>
        <w:snapToGrid w:val="0"/>
        <w:spacing w:line="360" w:lineRule="auto"/>
        <w:ind w:firstLine="420" w:firstLineChars="200"/>
        <w:rPr>
          <w:rFonts w:ascii="宋体" w:hAnsi="宋体"/>
          <w:szCs w:val="21"/>
        </w:rPr>
      </w:pPr>
      <w:r>
        <w:rPr>
          <w:rFonts w:hint="eastAsia" w:ascii="宋体" w:hAnsi="宋体"/>
          <w:szCs w:val="21"/>
        </w:rPr>
        <w:t>2、下列文件均为本合同的组成部分：</w:t>
      </w:r>
    </w:p>
    <w:p w14:paraId="1035E7BB">
      <w:pPr>
        <w:snapToGrid w:val="0"/>
        <w:spacing w:line="360" w:lineRule="auto"/>
        <w:ind w:firstLine="420" w:firstLineChars="200"/>
        <w:rPr>
          <w:rFonts w:ascii="宋体" w:hAnsi="宋体"/>
          <w:szCs w:val="21"/>
        </w:rPr>
      </w:pPr>
      <w:r>
        <w:rPr>
          <w:rFonts w:hint="eastAsia" w:ascii="宋体" w:hAnsi="宋体"/>
          <w:szCs w:val="21"/>
        </w:rPr>
        <w:t>（1）招标文件、答疑及补充通知；</w:t>
      </w:r>
    </w:p>
    <w:p w14:paraId="6B02DB61">
      <w:pPr>
        <w:snapToGrid w:val="0"/>
        <w:spacing w:line="360" w:lineRule="auto"/>
        <w:ind w:firstLine="420" w:firstLineChars="200"/>
        <w:rPr>
          <w:rFonts w:ascii="宋体" w:hAnsi="宋体"/>
          <w:szCs w:val="21"/>
        </w:rPr>
      </w:pPr>
      <w:r>
        <w:rPr>
          <w:rFonts w:hint="eastAsia" w:ascii="宋体" w:hAnsi="宋体"/>
          <w:szCs w:val="21"/>
        </w:rPr>
        <w:t>（2）</w:t>
      </w:r>
      <w:r>
        <w:rPr>
          <w:rFonts w:asciiTheme="minorEastAsia" w:hAnsiTheme="minorEastAsia"/>
          <w:szCs w:val="21"/>
        </w:rPr>
        <w:t>乙方的</w:t>
      </w:r>
      <w:r>
        <w:rPr>
          <w:rFonts w:hint="eastAsia" w:ascii="宋体" w:hAnsi="宋体"/>
          <w:szCs w:val="21"/>
        </w:rPr>
        <w:t>投标文件；</w:t>
      </w:r>
    </w:p>
    <w:p w14:paraId="6B317C9B">
      <w:pPr>
        <w:snapToGrid w:val="0"/>
        <w:spacing w:line="360" w:lineRule="auto"/>
        <w:ind w:firstLine="420" w:firstLineChars="200"/>
        <w:rPr>
          <w:rFonts w:ascii="宋体" w:hAnsi="宋体"/>
          <w:szCs w:val="21"/>
        </w:rPr>
      </w:pPr>
      <w:r>
        <w:rPr>
          <w:rFonts w:hint="eastAsia" w:ascii="宋体" w:hAnsi="宋体"/>
          <w:szCs w:val="21"/>
        </w:rPr>
        <w:t>（3）本合同执行中共同签署的补充与修正文件。</w:t>
      </w:r>
    </w:p>
    <w:p w14:paraId="4E219AD7">
      <w:pPr>
        <w:snapToGrid w:val="0"/>
        <w:spacing w:line="360" w:lineRule="auto"/>
        <w:ind w:firstLine="420" w:firstLineChars="200"/>
        <w:rPr>
          <w:rFonts w:ascii="宋体" w:hAnsi="宋体"/>
          <w:szCs w:val="21"/>
        </w:rPr>
      </w:pPr>
      <w:r>
        <w:rPr>
          <w:rFonts w:hint="eastAsia" w:ascii="宋体" w:hAnsi="宋体"/>
          <w:szCs w:val="21"/>
        </w:rPr>
        <w:t>3、本合同一式_____份，甲、中标人双方各执_____份，具有同等法律效力。本合同自双方法定代表人签字（盖章）认可之日起生效。</w:t>
      </w:r>
    </w:p>
    <w:p w14:paraId="49EF2EAA">
      <w:pPr>
        <w:snapToGrid w:val="0"/>
        <w:spacing w:line="360" w:lineRule="auto"/>
        <w:ind w:firstLine="420" w:firstLineChars="200"/>
        <w:rPr>
          <w:rFonts w:ascii="宋体" w:hAnsi="宋体"/>
          <w:szCs w:val="21"/>
        </w:rPr>
      </w:pPr>
      <w:r>
        <w:rPr>
          <w:rFonts w:hint="eastAsia" w:ascii="宋体" w:hAnsi="宋体"/>
          <w:szCs w:val="21"/>
        </w:rPr>
        <w:t>4、本合同未尽事宜，双方友好协商，达成解决方案，经双方签字后，可作为本合同的有效附件。</w:t>
      </w:r>
    </w:p>
    <w:p w14:paraId="012C3AE3">
      <w:pPr>
        <w:pStyle w:val="23"/>
        <w:snapToGrid w:val="0"/>
        <w:spacing w:line="360" w:lineRule="auto"/>
        <w:ind w:firstLine="420" w:firstLineChars="200"/>
        <w:rPr>
          <w:rFonts w:hAnsi="宋体"/>
          <w:sz w:val="21"/>
          <w:szCs w:val="21"/>
        </w:rPr>
      </w:pPr>
      <w:r>
        <w:rPr>
          <w:rFonts w:hint="eastAsia" w:hAnsi="宋体"/>
          <w:sz w:val="21"/>
          <w:szCs w:val="21"/>
        </w:rPr>
        <w:t>附件：</w:t>
      </w:r>
    </w:p>
    <w:p w14:paraId="36FAFAC0">
      <w:pPr>
        <w:snapToGrid w:val="0"/>
        <w:spacing w:line="360" w:lineRule="auto"/>
        <w:ind w:firstLine="420" w:firstLineChars="200"/>
        <w:rPr>
          <w:rFonts w:ascii="宋体" w:hAnsi="宋体"/>
          <w:szCs w:val="21"/>
        </w:rPr>
      </w:pPr>
      <w:r>
        <w:rPr>
          <w:rFonts w:hint="eastAsia" w:ascii="宋体" w:hAnsi="宋体"/>
          <w:szCs w:val="21"/>
        </w:rPr>
        <w:t>1、《中标/成交通知书》</w:t>
      </w:r>
    </w:p>
    <w:p w14:paraId="0CF7227D">
      <w:pPr>
        <w:snapToGrid w:val="0"/>
        <w:spacing w:line="360" w:lineRule="auto"/>
        <w:ind w:firstLine="420" w:firstLineChars="200"/>
        <w:rPr>
          <w:rFonts w:ascii="宋体" w:hAnsi="宋体"/>
          <w:szCs w:val="21"/>
        </w:rPr>
      </w:pPr>
      <w:r>
        <w:rPr>
          <w:rFonts w:hint="eastAsia" w:ascii="宋体" w:hAnsi="宋体"/>
          <w:szCs w:val="21"/>
        </w:rPr>
        <w:t>2、《投标文件》</w:t>
      </w:r>
    </w:p>
    <w:p w14:paraId="57885D3B">
      <w:pPr>
        <w:snapToGrid w:val="0"/>
        <w:spacing w:line="360" w:lineRule="auto"/>
        <w:ind w:firstLine="420" w:firstLineChars="200"/>
        <w:rPr>
          <w:rFonts w:ascii="宋体" w:hAnsi="宋体"/>
          <w:szCs w:val="21"/>
        </w:rPr>
      </w:pPr>
      <w:r>
        <w:rPr>
          <w:rFonts w:hint="eastAsia" w:ascii="宋体" w:hAnsi="宋体"/>
          <w:szCs w:val="21"/>
        </w:rPr>
        <w:t>3、《招标文件》</w:t>
      </w:r>
    </w:p>
    <w:p w14:paraId="03040A3E">
      <w:pPr>
        <w:snapToGrid w:val="0"/>
        <w:spacing w:line="360" w:lineRule="auto"/>
        <w:rPr>
          <w:rFonts w:ascii="宋体" w:hAnsi="宋体"/>
          <w:szCs w:val="21"/>
        </w:rPr>
      </w:pPr>
    </w:p>
    <w:p w14:paraId="04C2D60E">
      <w:pPr>
        <w:spacing w:line="360" w:lineRule="auto"/>
        <w:ind w:firstLine="424" w:firstLineChars="202"/>
        <w:jc w:val="left"/>
        <w:rPr>
          <w:rFonts w:asciiTheme="minorEastAsia" w:hAnsiTheme="minorEastAsia"/>
          <w:szCs w:val="21"/>
        </w:rPr>
      </w:pPr>
      <w:r>
        <w:rPr>
          <w:rFonts w:hint="eastAsia" w:asciiTheme="minorEastAsia" w:hAnsiTheme="minorEastAsia"/>
          <w:szCs w:val="21"/>
        </w:rPr>
        <w:t>甲方（采购人）：</w:t>
      </w:r>
      <w:r>
        <w:rPr>
          <w:rFonts w:asciiTheme="minorEastAsia" w:hAnsiTheme="minorEastAsia"/>
          <w:szCs w:val="21"/>
        </w:rPr>
        <w:t>（盖</w:t>
      </w:r>
      <w:r>
        <w:rPr>
          <w:rFonts w:hint="eastAsia" w:asciiTheme="minorEastAsia" w:hAnsiTheme="minorEastAsia"/>
          <w:szCs w:val="21"/>
        </w:rPr>
        <w:t>公</w:t>
      </w:r>
      <w:r>
        <w:rPr>
          <w:rFonts w:asciiTheme="minorEastAsia" w:hAnsiTheme="minorEastAsia"/>
          <w:szCs w:val="21"/>
        </w:rPr>
        <w:t xml:space="preserve">章）  </w:t>
      </w: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szCs w:val="21"/>
        </w:rPr>
        <w:t xml:space="preserve">    </w:t>
      </w:r>
      <w:r>
        <w:rPr>
          <w:rFonts w:asciiTheme="minorEastAsia" w:hAnsiTheme="minorEastAsia"/>
          <w:szCs w:val="21"/>
        </w:rPr>
        <w:t xml:space="preserve"> </w:t>
      </w:r>
      <w:r>
        <w:rPr>
          <w:rFonts w:hint="eastAsia" w:asciiTheme="minorEastAsia" w:hAnsiTheme="minorEastAsia"/>
          <w:szCs w:val="21"/>
        </w:rPr>
        <w:t xml:space="preserve">      </w:t>
      </w:r>
      <w:r>
        <w:rPr>
          <w:rFonts w:asciiTheme="minorEastAsia" w:hAnsiTheme="minorEastAsia"/>
          <w:szCs w:val="21"/>
        </w:rPr>
        <w:t>乙方（</w:t>
      </w:r>
      <w:r>
        <w:rPr>
          <w:rFonts w:hint="eastAsia" w:asciiTheme="minorEastAsia" w:hAnsiTheme="minorEastAsia"/>
          <w:szCs w:val="21"/>
        </w:rPr>
        <w:t>中标人</w:t>
      </w:r>
      <w:r>
        <w:rPr>
          <w:rFonts w:asciiTheme="minorEastAsia" w:hAnsiTheme="minorEastAsia"/>
          <w:szCs w:val="21"/>
        </w:rPr>
        <w:t>）：（盖</w:t>
      </w:r>
      <w:r>
        <w:rPr>
          <w:rFonts w:hint="eastAsia" w:asciiTheme="minorEastAsia" w:hAnsiTheme="minorEastAsia"/>
          <w:szCs w:val="21"/>
        </w:rPr>
        <w:t>公</w:t>
      </w:r>
      <w:r>
        <w:rPr>
          <w:rFonts w:asciiTheme="minorEastAsia" w:hAnsiTheme="minorEastAsia"/>
          <w:szCs w:val="21"/>
        </w:rPr>
        <w:t>章）</w:t>
      </w:r>
    </w:p>
    <w:p w14:paraId="0880D7EE">
      <w:pPr>
        <w:spacing w:line="360" w:lineRule="auto"/>
        <w:ind w:firstLine="424" w:firstLineChars="202"/>
        <w:jc w:val="left"/>
        <w:rPr>
          <w:rFonts w:asciiTheme="minorEastAsia" w:hAnsiTheme="minorEastAsia"/>
          <w:szCs w:val="21"/>
        </w:rPr>
      </w:pPr>
      <w:r>
        <w:rPr>
          <w:rFonts w:hint="eastAsia" w:asciiTheme="minorEastAsia" w:hAnsiTheme="minorEastAsia"/>
          <w:szCs w:val="21"/>
        </w:rPr>
        <w:t>法定代表人（签字或盖私章）：</w:t>
      </w:r>
      <w:r>
        <w:rPr>
          <w:rFonts w:asciiTheme="minorEastAsia" w:hAnsiTheme="minorEastAsia"/>
          <w:szCs w:val="21"/>
        </w:rPr>
        <w:t xml:space="preserve">                 法定代表人</w:t>
      </w:r>
      <w:r>
        <w:rPr>
          <w:rFonts w:hint="eastAsia" w:asciiTheme="minorEastAsia" w:hAnsiTheme="minorEastAsia"/>
          <w:szCs w:val="21"/>
        </w:rPr>
        <w:t>（签字或盖私章）</w:t>
      </w:r>
      <w:r>
        <w:rPr>
          <w:rFonts w:asciiTheme="minorEastAsia" w:hAnsiTheme="minorEastAsia"/>
          <w:szCs w:val="21"/>
        </w:rPr>
        <w:t xml:space="preserve">： </w:t>
      </w:r>
    </w:p>
    <w:p w14:paraId="67082792">
      <w:pPr>
        <w:spacing w:line="360" w:lineRule="auto"/>
        <w:ind w:firstLine="424" w:firstLineChars="202"/>
        <w:jc w:val="left"/>
        <w:rPr>
          <w:rFonts w:asciiTheme="minorEastAsia" w:hAnsiTheme="minorEastAsia"/>
          <w:szCs w:val="21"/>
        </w:rPr>
      </w:pPr>
      <w:r>
        <w:rPr>
          <w:rFonts w:hint="eastAsia" w:asciiTheme="minorEastAsia" w:hAnsiTheme="minorEastAsia"/>
          <w:szCs w:val="21"/>
        </w:rPr>
        <w:t>委托代理人：</w:t>
      </w:r>
      <w:r>
        <w:rPr>
          <w:rFonts w:asciiTheme="minorEastAsia" w:hAnsiTheme="minorEastAsia"/>
          <w:szCs w:val="21"/>
        </w:rPr>
        <w:t xml:space="preserve">                </w:t>
      </w:r>
      <w:r>
        <w:rPr>
          <w:rFonts w:hint="eastAsia" w:asciiTheme="minorEastAsia" w:hAnsiTheme="minorEastAsia"/>
          <w:szCs w:val="21"/>
        </w:rPr>
        <w:t xml:space="preserve">              </w:t>
      </w:r>
      <w:r>
        <w:rPr>
          <w:rFonts w:asciiTheme="minorEastAsia" w:hAnsiTheme="minorEastAsia"/>
          <w:szCs w:val="21"/>
        </w:rPr>
        <w:t xml:space="preserve">  委托代理人：</w:t>
      </w:r>
    </w:p>
    <w:p w14:paraId="57E25104">
      <w:pPr>
        <w:ind w:firstLine="424" w:firstLineChars="202"/>
        <w:rPr>
          <w:rFonts w:asciiTheme="minorEastAsia" w:hAnsiTheme="minorEastAsia"/>
          <w:b/>
          <w:szCs w:val="21"/>
        </w:rPr>
      </w:pPr>
      <w:r>
        <w:rPr>
          <w:rFonts w:hint="eastAsia" w:asciiTheme="minorEastAsia" w:hAnsiTheme="minorEastAsia"/>
          <w:szCs w:val="21"/>
        </w:rPr>
        <w:t>日期：</w:t>
      </w:r>
      <w:r>
        <w:rPr>
          <w:rFonts w:asciiTheme="minorEastAsia" w:hAnsiTheme="minorEastAsia"/>
          <w:szCs w:val="21"/>
        </w:rPr>
        <w:t xml:space="preserve">   年     月    日    </w:t>
      </w:r>
      <w:r>
        <w:rPr>
          <w:rFonts w:hint="eastAsia" w:asciiTheme="minorEastAsia" w:hAnsiTheme="minorEastAsia"/>
          <w:szCs w:val="21"/>
        </w:rPr>
        <w:t xml:space="preserve">              </w:t>
      </w:r>
      <w:r>
        <w:rPr>
          <w:rFonts w:asciiTheme="minorEastAsia" w:hAnsiTheme="minorEastAsia"/>
          <w:szCs w:val="21"/>
        </w:rPr>
        <w:t xml:space="preserve">  日期：   年     月    日</w:t>
      </w:r>
    </w:p>
    <w:p w14:paraId="3A568F05">
      <w:pPr>
        <w:ind w:firstLine="420" w:firstLineChars="200"/>
        <w:rPr>
          <w:rFonts w:ascii="宋体" w:hAnsi="宋体"/>
          <w:szCs w:val="21"/>
        </w:rPr>
      </w:pPr>
    </w:p>
    <w:p w14:paraId="7178F343">
      <w:pPr>
        <w:ind w:firstLine="420" w:firstLineChars="200"/>
        <w:rPr>
          <w:rFonts w:ascii="宋体" w:hAnsi="宋体"/>
          <w:szCs w:val="21"/>
        </w:rPr>
      </w:pPr>
    </w:p>
    <w:p w14:paraId="3DD1108A">
      <w:pPr>
        <w:keepNext/>
        <w:keepLines/>
        <w:spacing w:before="260" w:after="260"/>
        <w:jc w:val="center"/>
        <w:outlineLvl w:val="2"/>
        <w:rPr>
          <w:rFonts w:ascii="宋体" w:hAnsi="宋体"/>
          <w:szCs w:val="21"/>
        </w:rPr>
      </w:pPr>
    </w:p>
    <w:p w14:paraId="5F8E3A3F">
      <w:pPr>
        <w:keepNext/>
        <w:keepLines/>
        <w:spacing w:before="260" w:after="260"/>
        <w:jc w:val="center"/>
        <w:outlineLvl w:val="2"/>
        <w:rPr>
          <w:rFonts w:ascii="宋体" w:hAnsi="宋体"/>
          <w:szCs w:val="21"/>
        </w:rPr>
      </w:pPr>
    </w:p>
    <w:p w14:paraId="389E5E14">
      <w:pPr>
        <w:keepNext/>
        <w:keepLines/>
        <w:spacing w:before="260" w:after="260"/>
        <w:jc w:val="center"/>
        <w:outlineLvl w:val="2"/>
        <w:rPr>
          <w:rFonts w:ascii="宋体" w:hAnsi="宋体"/>
          <w:szCs w:val="21"/>
        </w:rPr>
      </w:pPr>
    </w:p>
    <w:p w14:paraId="0C959E84">
      <w:pPr>
        <w:keepNext/>
        <w:keepLines/>
        <w:spacing w:before="260" w:after="260"/>
        <w:jc w:val="center"/>
        <w:outlineLvl w:val="2"/>
        <w:rPr>
          <w:rFonts w:ascii="宋体" w:hAnsi="宋体"/>
          <w:szCs w:val="21"/>
        </w:rPr>
      </w:pPr>
    </w:p>
    <w:p w14:paraId="52C683CC">
      <w:pPr>
        <w:keepNext/>
        <w:keepLines/>
        <w:spacing w:before="260" w:after="260"/>
        <w:jc w:val="center"/>
        <w:outlineLvl w:val="2"/>
        <w:rPr>
          <w:rFonts w:ascii="宋体" w:hAnsi="宋体"/>
          <w:szCs w:val="21"/>
        </w:rPr>
      </w:pPr>
    </w:p>
    <w:p w14:paraId="2129A935">
      <w:pPr>
        <w:keepNext/>
        <w:keepLines/>
        <w:spacing w:before="260" w:after="260"/>
        <w:jc w:val="center"/>
        <w:outlineLvl w:val="2"/>
        <w:rPr>
          <w:rFonts w:ascii="宋体" w:hAnsi="宋体"/>
          <w:szCs w:val="21"/>
        </w:rPr>
      </w:pPr>
    </w:p>
    <w:p w14:paraId="07A64087">
      <w:pPr>
        <w:keepNext/>
        <w:keepLines/>
        <w:spacing w:before="260" w:after="260"/>
        <w:jc w:val="center"/>
        <w:outlineLvl w:val="2"/>
        <w:rPr>
          <w:rFonts w:ascii="宋体" w:hAnsi="宋体"/>
          <w:szCs w:val="21"/>
        </w:rPr>
      </w:pPr>
    </w:p>
    <w:p w14:paraId="38637A94">
      <w:pPr>
        <w:keepNext/>
        <w:keepLines/>
        <w:spacing w:before="260" w:after="260"/>
        <w:jc w:val="center"/>
        <w:outlineLvl w:val="2"/>
        <w:rPr>
          <w:rFonts w:ascii="宋体" w:hAnsi="宋体"/>
          <w:szCs w:val="21"/>
        </w:rPr>
      </w:pPr>
    </w:p>
    <w:p w14:paraId="39A7ABE4">
      <w:pPr>
        <w:keepNext/>
        <w:keepLines/>
        <w:spacing w:before="260" w:after="260"/>
        <w:jc w:val="center"/>
        <w:outlineLvl w:val="2"/>
        <w:rPr>
          <w:rFonts w:ascii="宋体" w:hAnsi="宋体"/>
          <w:szCs w:val="21"/>
        </w:rPr>
      </w:pPr>
    </w:p>
    <w:p w14:paraId="370CB96A">
      <w:pPr>
        <w:widowControl/>
        <w:jc w:val="left"/>
        <w:rPr>
          <w:rFonts w:ascii="宋体" w:hAnsi="宋体"/>
          <w:b/>
          <w:szCs w:val="21"/>
        </w:rPr>
      </w:pPr>
      <w:r>
        <w:rPr>
          <w:bCs/>
          <w:szCs w:val="21"/>
        </w:rPr>
        <w:br w:type="page"/>
      </w:r>
    </w:p>
    <w:p w14:paraId="455D8261">
      <w:pPr>
        <w:pStyle w:val="4"/>
        <w:spacing w:before="0"/>
        <w:jc w:val="center"/>
        <w:rPr>
          <w:rFonts w:ascii="黑体" w:eastAsia="黑体"/>
          <w:b w:val="0"/>
          <w:sz w:val="24"/>
          <w:szCs w:val="24"/>
        </w:rPr>
      </w:pPr>
      <w:r>
        <w:rPr>
          <w:rFonts w:hint="eastAsia" w:ascii="黑体" w:eastAsia="黑体"/>
          <w:b w:val="0"/>
          <w:sz w:val="24"/>
          <w:szCs w:val="24"/>
        </w:rPr>
        <w:t>二、政府采购履约情况反馈表</w:t>
      </w:r>
    </w:p>
    <w:p w14:paraId="2030FEE7">
      <w:pPr>
        <w:spacing w:line="240" w:lineRule="atLeast"/>
        <w:rPr>
          <w:rFonts w:ascii="宋体" w:hAnsi="宋体"/>
          <w:b/>
          <w:szCs w:val="21"/>
        </w:rPr>
      </w:pPr>
      <w:r>
        <w:rPr>
          <w:rFonts w:hint="eastAsia" w:ascii="宋体" w:hAnsi="宋体"/>
          <w:b/>
          <w:szCs w:val="21"/>
        </w:rPr>
        <w:t>采购人名称：                       联系人及电话：</w:t>
      </w:r>
    </w:p>
    <w:p w14:paraId="45941DC2">
      <w:pPr>
        <w:spacing w:line="60" w:lineRule="exact"/>
        <w:rPr>
          <w:rFonts w:ascii="宋体" w:hAnsi="宋体"/>
          <w:b/>
          <w:szCs w:val="21"/>
        </w:rPr>
      </w:pPr>
    </w:p>
    <w:tbl>
      <w:tblPr>
        <w:tblStyle w:val="42"/>
        <w:tblW w:w="891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2"/>
        <w:gridCol w:w="720"/>
        <w:gridCol w:w="720"/>
        <w:gridCol w:w="2520"/>
        <w:gridCol w:w="1980"/>
        <w:gridCol w:w="2135"/>
      </w:tblGrid>
      <w:tr w14:paraId="361CA9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2282" w:type="dxa"/>
            <w:gridSpan w:val="3"/>
            <w:vAlign w:val="center"/>
          </w:tcPr>
          <w:p w14:paraId="17C51613">
            <w:pPr>
              <w:spacing w:line="240" w:lineRule="atLeast"/>
              <w:jc w:val="center"/>
              <w:rPr>
                <w:rFonts w:ascii="宋体" w:hAnsi="宋体"/>
                <w:szCs w:val="21"/>
              </w:rPr>
            </w:pPr>
            <w:r>
              <w:rPr>
                <w:rFonts w:hint="eastAsia" w:ascii="宋体" w:hAnsi="宋体"/>
                <w:szCs w:val="21"/>
              </w:rPr>
              <w:t>采购项目名称</w:t>
            </w:r>
          </w:p>
        </w:tc>
        <w:tc>
          <w:tcPr>
            <w:tcW w:w="2520" w:type="dxa"/>
            <w:vAlign w:val="center"/>
          </w:tcPr>
          <w:p w14:paraId="6915DDC9">
            <w:pPr>
              <w:spacing w:line="240" w:lineRule="atLeast"/>
              <w:jc w:val="center"/>
              <w:rPr>
                <w:rFonts w:ascii="宋体" w:hAnsi="宋体"/>
                <w:szCs w:val="21"/>
              </w:rPr>
            </w:pPr>
          </w:p>
        </w:tc>
        <w:tc>
          <w:tcPr>
            <w:tcW w:w="1980" w:type="dxa"/>
            <w:vAlign w:val="center"/>
          </w:tcPr>
          <w:p w14:paraId="29A175AC">
            <w:pPr>
              <w:spacing w:line="240" w:lineRule="atLeast"/>
              <w:jc w:val="center"/>
              <w:rPr>
                <w:rFonts w:ascii="宋体" w:hAnsi="宋体"/>
                <w:szCs w:val="21"/>
              </w:rPr>
            </w:pPr>
            <w:r>
              <w:rPr>
                <w:rFonts w:hint="eastAsia" w:ascii="宋体" w:hAnsi="宋体"/>
                <w:szCs w:val="21"/>
              </w:rPr>
              <w:t>项目编号</w:t>
            </w:r>
          </w:p>
        </w:tc>
        <w:tc>
          <w:tcPr>
            <w:tcW w:w="2135" w:type="dxa"/>
            <w:vAlign w:val="center"/>
          </w:tcPr>
          <w:p w14:paraId="35635EF5">
            <w:pPr>
              <w:spacing w:line="240" w:lineRule="atLeast"/>
              <w:jc w:val="center"/>
              <w:rPr>
                <w:rFonts w:ascii="宋体" w:hAnsi="宋体"/>
                <w:szCs w:val="21"/>
              </w:rPr>
            </w:pPr>
          </w:p>
        </w:tc>
      </w:tr>
      <w:tr w14:paraId="1296D5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2282" w:type="dxa"/>
            <w:gridSpan w:val="3"/>
            <w:vAlign w:val="center"/>
          </w:tcPr>
          <w:p w14:paraId="3D029941">
            <w:pPr>
              <w:spacing w:line="240" w:lineRule="atLeast"/>
              <w:jc w:val="center"/>
              <w:rPr>
                <w:rFonts w:ascii="宋体" w:hAnsi="宋体"/>
                <w:szCs w:val="21"/>
              </w:rPr>
            </w:pPr>
            <w:r>
              <w:rPr>
                <w:rFonts w:hint="eastAsia" w:ascii="宋体" w:hAnsi="宋体"/>
                <w:szCs w:val="21"/>
              </w:rPr>
              <w:t>中标供应商名称</w:t>
            </w:r>
          </w:p>
        </w:tc>
        <w:tc>
          <w:tcPr>
            <w:tcW w:w="2520" w:type="dxa"/>
            <w:vAlign w:val="center"/>
          </w:tcPr>
          <w:p w14:paraId="651630A1">
            <w:pPr>
              <w:spacing w:line="240" w:lineRule="atLeast"/>
              <w:jc w:val="center"/>
              <w:rPr>
                <w:rFonts w:ascii="宋体" w:hAnsi="宋体"/>
                <w:szCs w:val="21"/>
              </w:rPr>
            </w:pPr>
          </w:p>
        </w:tc>
        <w:tc>
          <w:tcPr>
            <w:tcW w:w="1980" w:type="dxa"/>
            <w:vAlign w:val="center"/>
          </w:tcPr>
          <w:p w14:paraId="4869D016">
            <w:pPr>
              <w:spacing w:line="240" w:lineRule="atLeast"/>
              <w:jc w:val="center"/>
              <w:rPr>
                <w:rFonts w:ascii="宋体" w:hAnsi="宋体"/>
                <w:szCs w:val="21"/>
              </w:rPr>
            </w:pPr>
            <w:r>
              <w:rPr>
                <w:rFonts w:hint="eastAsia" w:ascii="宋体" w:hAnsi="宋体"/>
                <w:szCs w:val="21"/>
              </w:rPr>
              <w:t>供应商</w:t>
            </w:r>
          </w:p>
          <w:p w14:paraId="20FB439C">
            <w:pPr>
              <w:spacing w:line="240" w:lineRule="atLeast"/>
              <w:jc w:val="center"/>
              <w:rPr>
                <w:rFonts w:ascii="宋体" w:hAnsi="宋体"/>
                <w:szCs w:val="21"/>
              </w:rPr>
            </w:pPr>
            <w:r>
              <w:rPr>
                <w:rFonts w:hint="eastAsia" w:ascii="宋体" w:hAnsi="宋体"/>
                <w:szCs w:val="21"/>
              </w:rPr>
              <w:t>联系人及电话</w:t>
            </w:r>
          </w:p>
        </w:tc>
        <w:tc>
          <w:tcPr>
            <w:tcW w:w="2135" w:type="dxa"/>
            <w:vAlign w:val="center"/>
          </w:tcPr>
          <w:p w14:paraId="364915B9">
            <w:pPr>
              <w:spacing w:line="240" w:lineRule="atLeast"/>
              <w:jc w:val="center"/>
              <w:rPr>
                <w:rFonts w:ascii="宋体" w:hAnsi="宋体"/>
                <w:szCs w:val="21"/>
              </w:rPr>
            </w:pPr>
          </w:p>
        </w:tc>
      </w:tr>
      <w:tr w14:paraId="6A0848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282" w:type="dxa"/>
            <w:gridSpan w:val="3"/>
            <w:vAlign w:val="center"/>
          </w:tcPr>
          <w:p w14:paraId="3BB8FD3D">
            <w:pPr>
              <w:spacing w:line="240" w:lineRule="atLeast"/>
              <w:jc w:val="center"/>
              <w:rPr>
                <w:rFonts w:ascii="宋体" w:hAnsi="宋体"/>
                <w:szCs w:val="21"/>
              </w:rPr>
            </w:pPr>
            <w:r>
              <w:rPr>
                <w:rFonts w:hint="eastAsia" w:ascii="宋体" w:hAnsi="宋体"/>
                <w:szCs w:val="21"/>
              </w:rPr>
              <w:t>中标金额</w:t>
            </w:r>
          </w:p>
        </w:tc>
        <w:tc>
          <w:tcPr>
            <w:tcW w:w="2520" w:type="dxa"/>
            <w:vAlign w:val="center"/>
          </w:tcPr>
          <w:p w14:paraId="482D056A">
            <w:pPr>
              <w:spacing w:line="240" w:lineRule="atLeast"/>
              <w:jc w:val="center"/>
              <w:rPr>
                <w:rFonts w:ascii="宋体" w:hAnsi="宋体"/>
                <w:szCs w:val="21"/>
              </w:rPr>
            </w:pPr>
          </w:p>
        </w:tc>
        <w:tc>
          <w:tcPr>
            <w:tcW w:w="1980" w:type="dxa"/>
            <w:vAlign w:val="center"/>
          </w:tcPr>
          <w:p w14:paraId="6176C37F">
            <w:pPr>
              <w:spacing w:line="240" w:lineRule="atLeast"/>
              <w:jc w:val="center"/>
              <w:rPr>
                <w:rFonts w:ascii="宋体" w:hAnsi="宋体"/>
                <w:szCs w:val="21"/>
              </w:rPr>
            </w:pPr>
            <w:r>
              <w:rPr>
                <w:rFonts w:hint="eastAsia" w:ascii="宋体" w:hAnsi="宋体"/>
                <w:szCs w:val="21"/>
              </w:rPr>
              <w:t>合同履约时间</w:t>
            </w:r>
          </w:p>
        </w:tc>
        <w:tc>
          <w:tcPr>
            <w:tcW w:w="2135" w:type="dxa"/>
            <w:vAlign w:val="center"/>
          </w:tcPr>
          <w:p w14:paraId="6AE9BF41">
            <w:pPr>
              <w:spacing w:line="240" w:lineRule="atLeast"/>
              <w:rPr>
                <w:rFonts w:ascii="宋体" w:hAnsi="宋体"/>
                <w:szCs w:val="21"/>
              </w:rPr>
            </w:pPr>
            <w:r>
              <w:rPr>
                <w:rFonts w:hint="eastAsia" w:ascii="宋体" w:hAnsi="宋体"/>
                <w:szCs w:val="21"/>
              </w:rPr>
              <w:t>自       至</w:t>
            </w:r>
          </w:p>
        </w:tc>
      </w:tr>
      <w:tr w14:paraId="0E779F0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42" w:type="dxa"/>
            <w:vMerge w:val="restart"/>
            <w:vAlign w:val="center"/>
          </w:tcPr>
          <w:p w14:paraId="57D32589">
            <w:pPr>
              <w:spacing w:line="240" w:lineRule="atLeast"/>
              <w:jc w:val="center"/>
              <w:rPr>
                <w:rFonts w:ascii="宋体" w:hAnsi="宋体"/>
                <w:b/>
                <w:szCs w:val="21"/>
              </w:rPr>
            </w:pPr>
            <w:r>
              <w:rPr>
                <w:rFonts w:hint="eastAsia" w:ascii="宋体" w:hAnsi="宋体"/>
                <w:b/>
                <w:szCs w:val="21"/>
              </w:rPr>
              <w:t>履约情况评价</w:t>
            </w:r>
          </w:p>
        </w:tc>
        <w:tc>
          <w:tcPr>
            <w:tcW w:w="1440" w:type="dxa"/>
            <w:gridSpan w:val="2"/>
            <w:tcBorders>
              <w:right w:val="single" w:color="auto" w:sz="4" w:space="0"/>
            </w:tcBorders>
            <w:vAlign w:val="center"/>
          </w:tcPr>
          <w:p w14:paraId="2A1B0F3B">
            <w:pPr>
              <w:spacing w:line="240" w:lineRule="atLeast"/>
              <w:jc w:val="center"/>
              <w:rPr>
                <w:rFonts w:ascii="宋体" w:hAnsi="宋体"/>
                <w:szCs w:val="21"/>
              </w:rPr>
            </w:pPr>
            <w:r>
              <w:rPr>
                <w:rFonts w:hint="eastAsia" w:ascii="宋体" w:hAnsi="宋体"/>
                <w:szCs w:val="21"/>
              </w:rPr>
              <w:t>总体评价</w:t>
            </w:r>
          </w:p>
        </w:tc>
        <w:tc>
          <w:tcPr>
            <w:tcW w:w="6635" w:type="dxa"/>
            <w:gridSpan w:val="3"/>
            <w:tcBorders>
              <w:left w:val="single" w:color="auto" w:sz="4" w:space="0"/>
            </w:tcBorders>
            <w:vAlign w:val="center"/>
          </w:tcPr>
          <w:p w14:paraId="257EB21A">
            <w:pPr>
              <w:spacing w:line="240" w:lineRule="atLeast"/>
              <w:ind w:firstLine="105" w:firstLineChars="50"/>
              <w:jc w:val="center"/>
              <w:rPr>
                <w:rFonts w:ascii="宋体" w:hAnsi="宋体"/>
                <w:szCs w:val="21"/>
              </w:rPr>
            </w:pPr>
            <w:r>
              <w:rPr>
                <w:rFonts w:hint="eastAsia" w:ascii="宋体" w:hAnsi="宋体"/>
                <w:szCs w:val="21"/>
              </w:rPr>
              <w:t>□ 优          □ 良          □ 中           □ 差</w:t>
            </w:r>
          </w:p>
        </w:tc>
      </w:tr>
      <w:tr w14:paraId="6A8293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0DCF8A68">
            <w:pPr>
              <w:spacing w:line="240" w:lineRule="atLeast"/>
              <w:jc w:val="center"/>
              <w:rPr>
                <w:rFonts w:ascii="宋体" w:hAnsi="宋体"/>
                <w:szCs w:val="21"/>
              </w:rPr>
            </w:pPr>
          </w:p>
        </w:tc>
        <w:tc>
          <w:tcPr>
            <w:tcW w:w="720" w:type="dxa"/>
            <w:vMerge w:val="restart"/>
            <w:tcBorders>
              <w:right w:val="single" w:color="auto" w:sz="4" w:space="0"/>
            </w:tcBorders>
            <w:vAlign w:val="center"/>
          </w:tcPr>
          <w:p w14:paraId="1B6712B4">
            <w:pPr>
              <w:spacing w:line="240" w:lineRule="atLeast"/>
              <w:jc w:val="center"/>
              <w:rPr>
                <w:rFonts w:ascii="宋体" w:hAnsi="宋体"/>
                <w:szCs w:val="21"/>
              </w:rPr>
            </w:pPr>
            <w:r>
              <w:rPr>
                <w:rFonts w:hint="eastAsia" w:ascii="宋体" w:hAnsi="宋体"/>
                <w:szCs w:val="21"/>
              </w:rPr>
              <w:t>分项评价</w:t>
            </w:r>
          </w:p>
        </w:tc>
        <w:tc>
          <w:tcPr>
            <w:tcW w:w="720" w:type="dxa"/>
            <w:tcBorders>
              <w:left w:val="single" w:color="auto" w:sz="4" w:space="0"/>
              <w:right w:val="single" w:color="auto" w:sz="4" w:space="0"/>
            </w:tcBorders>
            <w:vAlign w:val="center"/>
          </w:tcPr>
          <w:p w14:paraId="094FF2A4">
            <w:pPr>
              <w:spacing w:line="240" w:lineRule="atLeast"/>
              <w:jc w:val="center"/>
              <w:rPr>
                <w:rFonts w:ascii="宋体" w:hAnsi="宋体"/>
                <w:szCs w:val="21"/>
              </w:rPr>
            </w:pPr>
            <w:r>
              <w:rPr>
                <w:rFonts w:hint="eastAsia" w:ascii="宋体" w:hAnsi="宋体"/>
                <w:szCs w:val="21"/>
              </w:rPr>
              <w:t>质量方面</w:t>
            </w:r>
          </w:p>
        </w:tc>
        <w:tc>
          <w:tcPr>
            <w:tcW w:w="6635" w:type="dxa"/>
            <w:gridSpan w:val="3"/>
            <w:tcBorders>
              <w:left w:val="single" w:color="auto" w:sz="4" w:space="0"/>
            </w:tcBorders>
            <w:vAlign w:val="center"/>
          </w:tcPr>
          <w:p w14:paraId="395FE07F">
            <w:pPr>
              <w:spacing w:line="240" w:lineRule="atLeast"/>
              <w:jc w:val="center"/>
              <w:rPr>
                <w:rFonts w:ascii="宋体" w:hAnsi="宋体"/>
                <w:szCs w:val="21"/>
              </w:rPr>
            </w:pPr>
            <w:r>
              <w:rPr>
                <w:rFonts w:hint="eastAsia" w:ascii="宋体" w:hAnsi="宋体"/>
                <w:szCs w:val="21"/>
              </w:rPr>
              <w:t xml:space="preserve"> □ 优          □ 良          □ 中           □ 差</w:t>
            </w:r>
          </w:p>
        </w:tc>
      </w:tr>
      <w:tr w14:paraId="345C04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1BF64E68">
            <w:pPr>
              <w:spacing w:line="240" w:lineRule="atLeast"/>
              <w:jc w:val="center"/>
              <w:rPr>
                <w:rFonts w:ascii="宋体" w:hAnsi="宋体"/>
                <w:szCs w:val="21"/>
              </w:rPr>
            </w:pPr>
          </w:p>
        </w:tc>
        <w:tc>
          <w:tcPr>
            <w:tcW w:w="720" w:type="dxa"/>
            <w:vMerge w:val="continue"/>
            <w:tcBorders>
              <w:right w:val="single" w:color="auto" w:sz="4" w:space="0"/>
            </w:tcBorders>
            <w:vAlign w:val="center"/>
          </w:tcPr>
          <w:p w14:paraId="6D71FF63">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14:paraId="5D9A3C3F">
            <w:pPr>
              <w:spacing w:line="240" w:lineRule="atLeast"/>
              <w:jc w:val="center"/>
              <w:rPr>
                <w:rFonts w:ascii="宋体" w:hAnsi="宋体"/>
                <w:szCs w:val="21"/>
              </w:rPr>
            </w:pPr>
            <w:r>
              <w:rPr>
                <w:rFonts w:hint="eastAsia" w:ascii="宋体" w:hAnsi="宋体"/>
                <w:szCs w:val="21"/>
              </w:rPr>
              <w:t>价格方面</w:t>
            </w:r>
          </w:p>
        </w:tc>
        <w:tc>
          <w:tcPr>
            <w:tcW w:w="6635" w:type="dxa"/>
            <w:gridSpan w:val="3"/>
            <w:tcBorders>
              <w:left w:val="single" w:color="auto" w:sz="4" w:space="0"/>
            </w:tcBorders>
            <w:vAlign w:val="center"/>
          </w:tcPr>
          <w:p w14:paraId="4D677194">
            <w:pPr>
              <w:spacing w:line="240" w:lineRule="atLeast"/>
              <w:jc w:val="center"/>
              <w:rPr>
                <w:rFonts w:ascii="宋体" w:hAnsi="宋体"/>
                <w:szCs w:val="21"/>
              </w:rPr>
            </w:pPr>
            <w:r>
              <w:rPr>
                <w:rFonts w:hint="eastAsia" w:ascii="宋体" w:hAnsi="宋体"/>
                <w:szCs w:val="21"/>
              </w:rPr>
              <w:t xml:space="preserve"> □ 优          □ 良          □ 中           □ 差</w:t>
            </w:r>
          </w:p>
        </w:tc>
      </w:tr>
      <w:tr w14:paraId="004F75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14B63901">
            <w:pPr>
              <w:spacing w:line="240" w:lineRule="atLeast"/>
              <w:jc w:val="center"/>
              <w:rPr>
                <w:rFonts w:ascii="宋体" w:hAnsi="宋体"/>
                <w:szCs w:val="21"/>
              </w:rPr>
            </w:pPr>
          </w:p>
        </w:tc>
        <w:tc>
          <w:tcPr>
            <w:tcW w:w="720" w:type="dxa"/>
            <w:vMerge w:val="continue"/>
            <w:tcBorders>
              <w:right w:val="single" w:color="auto" w:sz="4" w:space="0"/>
            </w:tcBorders>
            <w:vAlign w:val="center"/>
          </w:tcPr>
          <w:p w14:paraId="48D09205">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14:paraId="684C53B1">
            <w:pPr>
              <w:spacing w:line="240" w:lineRule="atLeast"/>
              <w:jc w:val="center"/>
              <w:rPr>
                <w:rFonts w:ascii="宋体" w:hAnsi="宋体"/>
                <w:szCs w:val="21"/>
              </w:rPr>
            </w:pPr>
            <w:r>
              <w:rPr>
                <w:rFonts w:hint="eastAsia" w:ascii="宋体" w:hAnsi="宋体"/>
                <w:szCs w:val="21"/>
              </w:rPr>
              <w:t>服务方面</w:t>
            </w:r>
          </w:p>
        </w:tc>
        <w:tc>
          <w:tcPr>
            <w:tcW w:w="6635" w:type="dxa"/>
            <w:gridSpan w:val="3"/>
            <w:tcBorders>
              <w:left w:val="single" w:color="auto" w:sz="4" w:space="0"/>
            </w:tcBorders>
            <w:vAlign w:val="center"/>
          </w:tcPr>
          <w:p w14:paraId="69CD7C0A">
            <w:pPr>
              <w:spacing w:line="240" w:lineRule="atLeast"/>
              <w:jc w:val="center"/>
              <w:rPr>
                <w:rFonts w:ascii="宋体" w:hAnsi="宋体"/>
                <w:szCs w:val="21"/>
              </w:rPr>
            </w:pPr>
            <w:r>
              <w:rPr>
                <w:rFonts w:hint="eastAsia" w:ascii="宋体" w:hAnsi="宋体"/>
                <w:szCs w:val="21"/>
              </w:rPr>
              <w:t xml:space="preserve"> □ 优          □ 良          □ 中           □ 差</w:t>
            </w:r>
          </w:p>
        </w:tc>
      </w:tr>
      <w:tr w14:paraId="0859D8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297D8A58">
            <w:pPr>
              <w:spacing w:line="240" w:lineRule="atLeast"/>
              <w:jc w:val="center"/>
              <w:rPr>
                <w:rFonts w:ascii="宋体" w:hAnsi="宋体"/>
                <w:szCs w:val="21"/>
              </w:rPr>
            </w:pPr>
          </w:p>
        </w:tc>
        <w:tc>
          <w:tcPr>
            <w:tcW w:w="720" w:type="dxa"/>
            <w:vMerge w:val="continue"/>
            <w:tcBorders>
              <w:right w:val="single" w:color="auto" w:sz="4" w:space="0"/>
            </w:tcBorders>
            <w:vAlign w:val="center"/>
          </w:tcPr>
          <w:p w14:paraId="1E3D9D04">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14:paraId="787AA02A">
            <w:pPr>
              <w:spacing w:line="240" w:lineRule="atLeast"/>
              <w:jc w:val="center"/>
              <w:rPr>
                <w:rFonts w:ascii="宋体" w:hAnsi="宋体"/>
                <w:szCs w:val="21"/>
              </w:rPr>
            </w:pPr>
            <w:r>
              <w:rPr>
                <w:rFonts w:hint="eastAsia" w:ascii="宋体" w:hAnsi="宋体"/>
                <w:szCs w:val="21"/>
              </w:rPr>
              <w:t>时间方面</w:t>
            </w:r>
          </w:p>
        </w:tc>
        <w:tc>
          <w:tcPr>
            <w:tcW w:w="6635" w:type="dxa"/>
            <w:gridSpan w:val="3"/>
            <w:tcBorders>
              <w:left w:val="single" w:color="auto" w:sz="4" w:space="0"/>
            </w:tcBorders>
            <w:vAlign w:val="center"/>
          </w:tcPr>
          <w:p w14:paraId="20D6C6AD">
            <w:pPr>
              <w:spacing w:line="240" w:lineRule="atLeast"/>
              <w:jc w:val="center"/>
              <w:rPr>
                <w:rFonts w:ascii="宋体" w:hAnsi="宋体"/>
                <w:szCs w:val="21"/>
              </w:rPr>
            </w:pPr>
            <w:r>
              <w:rPr>
                <w:rFonts w:hint="eastAsia" w:ascii="宋体" w:hAnsi="宋体"/>
                <w:szCs w:val="21"/>
              </w:rPr>
              <w:t xml:space="preserve"> □ 优          □ 良          □ 中           □ 差</w:t>
            </w:r>
          </w:p>
        </w:tc>
      </w:tr>
      <w:tr w14:paraId="237791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32D34118">
            <w:pPr>
              <w:spacing w:line="240" w:lineRule="atLeast"/>
              <w:jc w:val="center"/>
              <w:rPr>
                <w:rFonts w:ascii="宋体" w:hAnsi="宋体"/>
                <w:szCs w:val="21"/>
              </w:rPr>
            </w:pPr>
          </w:p>
        </w:tc>
        <w:tc>
          <w:tcPr>
            <w:tcW w:w="720" w:type="dxa"/>
            <w:vMerge w:val="continue"/>
            <w:tcBorders>
              <w:right w:val="single" w:color="auto" w:sz="4" w:space="0"/>
            </w:tcBorders>
            <w:vAlign w:val="center"/>
          </w:tcPr>
          <w:p w14:paraId="36F00A60">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14:paraId="57A56547">
            <w:pPr>
              <w:spacing w:line="240" w:lineRule="atLeast"/>
              <w:jc w:val="center"/>
              <w:rPr>
                <w:rFonts w:ascii="宋体" w:hAnsi="宋体"/>
                <w:szCs w:val="21"/>
              </w:rPr>
            </w:pPr>
            <w:r>
              <w:rPr>
                <w:rFonts w:hint="eastAsia" w:ascii="宋体" w:hAnsi="宋体"/>
                <w:szCs w:val="21"/>
              </w:rPr>
              <w:t>环境保护</w:t>
            </w:r>
          </w:p>
        </w:tc>
        <w:tc>
          <w:tcPr>
            <w:tcW w:w="6635" w:type="dxa"/>
            <w:gridSpan w:val="3"/>
            <w:tcBorders>
              <w:left w:val="single" w:color="auto" w:sz="4" w:space="0"/>
            </w:tcBorders>
            <w:vAlign w:val="center"/>
          </w:tcPr>
          <w:p w14:paraId="0B13415D">
            <w:pPr>
              <w:spacing w:line="240" w:lineRule="atLeast"/>
              <w:jc w:val="center"/>
              <w:rPr>
                <w:rFonts w:ascii="宋体" w:hAnsi="宋体"/>
                <w:szCs w:val="21"/>
              </w:rPr>
            </w:pPr>
            <w:r>
              <w:rPr>
                <w:rFonts w:hint="eastAsia" w:ascii="宋体" w:hAnsi="宋体"/>
                <w:szCs w:val="21"/>
              </w:rPr>
              <w:t xml:space="preserve"> □ 优          □ 良          □ 中           □ 差</w:t>
            </w:r>
          </w:p>
        </w:tc>
      </w:tr>
      <w:tr w14:paraId="4D60389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842" w:type="dxa"/>
            <w:vMerge w:val="continue"/>
            <w:vAlign w:val="center"/>
          </w:tcPr>
          <w:p w14:paraId="1BC1E46E">
            <w:pPr>
              <w:spacing w:line="240" w:lineRule="atLeast"/>
              <w:jc w:val="center"/>
              <w:rPr>
                <w:rFonts w:ascii="宋体" w:hAnsi="宋体"/>
                <w:szCs w:val="21"/>
              </w:rPr>
            </w:pPr>
          </w:p>
        </w:tc>
        <w:tc>
          <w:tcPr>
            <w:tcW w:w="720" w:type="dxa"/>
            <w:vMerge w:val="continue"/>
            <w:tcBorders>
              <w:right w:val="single" w:color="auto" w:sz="4" w:space="0"/>
            </w:tcBorders>
            <w:vAlign w:val="center"/>
          </w:tcPr>
          <w:p w14:paraId="6467A225">
            <w:pPr>
              <w:spacing w:line="240" w:lineRule="atLeast"/>
              <w:jc w:val="center"/>
              <w:rPr>
                <w:rFonts w:ascii="宋体" w:hAnsi="宋体"/>
                <w:szCs w:val="21"/>
              </w:rPr>
            </w:pPr>
          </w:p>
        </w:tc>
        <w:tc>
          <w:tcPr>
            <w:tcW w:w="720" w:type="dxa"/>
            <w:tcBorders>
              <w:left w:val="single" w:color="auto" w:sz="4" w:space="0"/>
              <w:right w:val="single" w:color="auto" w:sz="4" w:space="0"/>
            </w:tcBorders>
            <w:vAlign w:val="center"/>
          </w:tcPr>
          <w:p w14:paraId="2BA99B4D">
            <w:pPr>
              <w:spacing w:line="240" w:lineRule="atLeast"/>
              <w:jc w:val="center"/>
              <w:rPr>
                <w:rFonts w:ascii="宋体" w:hAnsi="宋体"/>
                <w:szCs w:val="21"/>
              </w:rPr>
            </w:pPr>
            <w:r>
              <w:rPr>
                <w:rFonts w:hint="eastAsia" w:ascii="宋体" w:hAnsi="宋体"/>
                <w:szCs w:val="21"/>
              </w:rPr>
              <w:t>其他</w:t>
            </w:r>
          </w:p>
        </w:tc>
        <w:tc>
          <w:tcPr>
            <w:tcW w:w="6635" w:type="dxa"/>
            <w:gridSpan w:val="3"/>
            <w:tcBorders>
              <w:left w:val="single" w:color="auto" w:sz="4" w:space="0"/>
            </w:tcBorders>
            <w:vAlign w:val="center"/>
          </w:tcPr>
          <w:p w14:paraId="6CD79DC5">
            <w:pPr>
              <w:spacing w:beforeLines="50" w:afterLines="50" w:line="240" w:lineRule="atLeast"/>
              <w:rPr>
                <w:rFonts w:ascii="宋体" w:hAnsi="宋体"/>
                <w:szCs w:val="21"/>
                <w:u w:val="single"/>
              </w:rPr>
            </w:pPr>
            <w:r>
              <w:rPr>
                <w:rFonts w:hint="eastAsia" w:ascii="宋体" w:hAnsi="宋体"/>
                <w:szCs w:val="21"/>
              </w:rPr>
              <w:t>评价内容为：</w:t>
            </w:r>
            <w:r>
              <w:rPr>
                <w:rFonts w:hint="eastAsia" w:ascii="宋体" w:hAnsi="宋体"/>
                <w:szCs w:val="21"/>
                <w:u w:val="single"/>
              </w:rPr>
              <w:t xml:space="preserve">                    </w:t>
            </w:r>
          </w:p>
          <w:p w14:paraId="2C18DC25">
            <w:pPr>
              <w:spacing w:beforeLines="50" w:afterLines="50" w:line="240" w:lineRule="atLeast"/>
              <w:rPr>
                <w:rFonts w:ascii="宋体" w:hAnsi="宋体"/>
                <w:szCs w:val="21"/>
              </w:rPr>
            </w:pPr>
            <w:r>
              <w:rPr>
                <w:rFonts w:hint="eastAsia" w:ascii="宋体" w:hAnsi="宋体"/>
                <w:szCs w:val="21"/>
              </w:rPr>
              <w:t>评价等级为：  □ 优       □ 良        □ 中         □ 差</w:t>
            </w:r>
          </w:p>
        </w:tc>
      </w:tr>
      <w:tr w14:paraId="0F62E7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61" w:hRule="atLeast"/>
          <w:jc w:val="center"/>
        </w:trPr>
        <w:tc>
          <w:tcPr>
            <w:tcW w:w="1562" w:type="dxa"/>
            <w:gridSpan w:val="2"/>
            <w:vAlign w:val="center"/>
          </w:tcPr>
          <w:p w14:paraId="1C5B225D">
            <w:pPr>
              <w:spacing w:line="240" w:lineRule="atLeast"/>
              <w:jc w:val="center"/>
              <w:rPr>
                <w:rFonts w:ascii="宋体" w:hAnsi="宋体"/>
                <w:szCs w:val="21"/>
              </w:rPr>
            </w:pPr>
            <w:r>
              <w:rPr>
                <w:rFonts w:hint="eastAsia" w:ascii="宋体" w:hAnsi="宋体"/>
                <w:szCs w:val="21"/>
              </w:rPr>
              <w:t>具体情况说明</w:t>
            </w:r>
          </w:p>
        </w:tc>
        <w:tc>
          <w:tcPr>
            <w:tcW w:w="7355" w:type="dxa"/>
            <w:gridSpan w:val="4"/>
          </w:tcPr>
          <w:p w14:paraId="427EFE70">
            <w:pPr>
              <w:spacing w:line="240" w:lineRule="atLeast"/>
              <w:rPr>
                <w:rFonts w:ascii="宋体" w:hAnsi="宋体"/>
                <w:szCs w:val="21"/>
              </w:rPr>
            </w:pPr>
          </w:p>
          <w:p w14:paraId="52B4F270">
            <w:pPr>
              <w:spacing w:line="240" w:lineRule="atLeast"/>
              <w:rPr>
                <w:rFonts w:ascii="宋体" w:hAnsi="宋体"/>
                <w:szCs w:val="21"/>
              </w:rPr>
            </w:pPr>
          </w:p>
          <w:p w14:paraId="3A1FFF5E">
            <w:pPr>
              <w:spacing w:line="240" w:lineRule="atLeast"/>
              <w:rPr>
                <w:rFonts w:ascii="宋体" w:hAnsi="宋体"/>
                <w:szCs w:val="21"/>
              </w:rPr>
            </w:pPr>
          </w:p>
          <w:p w14:paraId="6872A7C7">
            <w:pPr>
              <w:spacing w:line="240" w:lineRule="atLeast"/>
              <w:rPr>
                <w:rFonts w:ascii="宋体" w:hAnsi="宋体"/>
                <w:szCs w:val="21"/>
              </w:rPr>
            </w:pPr>
          </w:p>
          <w:p w14:paraId="17BF6228">
            <w:pPr>
              <w:spacing w:line="240" w:lineRule="atLeast"/>
              <w:rPr>
                <w:rFonts w:ascii="宋体" w:hAnsi="宋体"/>
                <w:szCs w:val="21"/>
              </w:rPr>
            </w:pPr>
          </w:p>
          <w:p w14:paraId="0CAE29B1">
            <w:pPr>
              <w:spacing w:line="240" w:lineRule="atLeast"/>
              <w:rPr>
                <w:rFonts w:ascii="宋体" w:hAnsi="宋体"/>
                <w:szCs w:val="21"/>
              </w:rPr>
            </w:pPr>
          </w:p>
          <w:p w14:paraId="33BCE7C1">
            <w:pPr>
              <w:spacing w:line="240" w:lineRule="atLeast"/>
              <w:rPr>
                <w:rFonts w:ascii="宋体" w:hAnsi="宋体"/>
                <w:szCs w:val="21"/>
              </w:rPr>
            </w:pPr>
          </w:p>
          <w:p w14:paraId="11365C69">
            <w:pPr>
              <w:spacing w:line="240" w:lineRule="atLeast"/>
              <w:rPr>
                <w:rFonts w:ascii="宋体" w:hAnsi="宋体"/>
                <w:szCs w:val="21"/>
              </w:rPr>
            </w:pPr>
          </w:p>
        </w:tc>
      </w:tr>
      <w:tr w14:paraId="670322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09" w:hRule="atLeast"/>
          <w:jc w:val="center"/>
        </w:trPr>
        <w:tc>
          <w:tcPr>
            <w:tcW w:w="1562" w:type="dxa"/>
            <w:gridSpan w:val="2"/>
            <w:vAlign w:val="center"/>
          </w:tcPr>
          <w:p w14:paraId="65F93D1A">
            <w:pPr>
              <w:spacing w:line="240" w:lineRule="atLeast"/>
              <w:jc w:val="center"/>
              <w:rPr>
                <w:rFonts w:ascii="宋体" w:hAnsi="宋体"/>
                <w:szCs w:val="21"/>
              </w:rPr>
            </w:pPr>
            <w:r>
              <w:rPr>
                <w:rFonts w:hint="eastAsia" w:ascii="宋体" w:hAnsi="宋体"/>
                <w:szCs w:val="21"/>
              </w:rPr>
              <w:t>采购人意见</w:t>
            </w:r>
          </w:p>
          <w:p w14:paraId="21936D2C">
            <w:pPr>
              <w:spacing w:line="240" w:lineRule="atLeast"/>
              <w:jc w:val="center"/>
              <w:rPr>
                <w:rFonts w:ascii="宋体" w:hAnsi="宋体"/>
                <w:szCs w:val="21"/>
              </w:rPr>
            </w:pPr>
            <w:r>
              <w:rPr>
                <w:rFonts w:hint="eastAsia" w:ascii="宋体" w:hAnsi="宋体"/>
                <w:szCs w:val="21"/>
              </w:rPr>
              <w:t>（公章）</w:t>
            </w:r>
          </w:p>
        </w:tc>
        <w:tc>
          <w:tcPr>
            <w:tcW w:w="7355" w:type="dxa"/>
            <w:gridSpan w:val="4"/>
            <w:vAlign w:val="center"/>
          </w:tcPr>
          <w:p w14:paraId="028F386E">
            <w:pPr>
              <w:spacing w:line="240" w:lineRule="atLeast"/>
              <w:rPr>
                <w:rFonts w:ascii="宋体" w:hAnsi="宋体"/>
                <w:szCs w:val="21"/>
              </w:rPr>
            </w:pPr>
          </w:p>
          <w:p w14:paraId="1CD18F67">
            <w:pPr>
              <w:spacing w:line="240" w:lineRule="atLeast"/>
              <w:rPr>
                <w:rFonts w:ascii="宋体" w:hAnsi="宋体"/>
                <w:szCs w:val="21"/>
              </w:rPr>
            </w:pPr>
            <w:r>
              <w:rPr>
                <w:rFonts w:hint="eastAsia" w:ascii="宋体" w:hAnsi="宋体"/>
                <w:szCs w:val="21"/>
              </w:rPr>
              <w:t xml:space="preserve">                                        </w:t>
            </w:r>
          </w:p>
          <w:p w14:paraId="68F32E9C">
            <w:pPr>
              <w:spacing w:line="240" w:lineRule="atLeast"/>
              <w:ind w:firstLine="3780" w:firstLineChars="1800"/>
              <w:rPr>
                <w:rFonts w:ascii="宋体" w:hAnsi="宋体"/>
                <w:szCs w:val="21"/>
              </w:rPr>
            </w:pPr>
          </w:p>
          <w:p w14:paraId="7AE079A2">
            <w:pPr>
              <w:spacing w:line="240" w:lineRule="atLeast"/>
              <w:ind w:firstLine="3780" w:firstLineChars="1800"/>
              <w:rPr>
                <w:rFonts w:ascii="宋体" w:hAnsi="宋体"/>
                <w:szCs w:val="21"/>
              </w:rPr>
            </w:pPr>
            <w:r>
              <w:rPr>
                <w:rFonts w:hint="eastAsia" w:ascii="宋体" w:hAnsi="宋体"/>
                <w:szCs w:val="21"/>
              </w:rPr>
              <w:t>日期：   年   月   日</w:t>
            </w:r>
          </w:p>
        </w:tc>
      </w:tr>
    </w:tbl>
    <w:p w14:paraId="690D4B3A">
      <w:pPr>
        <w:spacing w:line="240" w:lineRule="atLeast"/>
        <w:rPr>
          <w:rFonts w:ascii="宋体" w:hAnsi="宋体"/>
          <w:szCs w:val="21"/>
        </w:rPr>
      </w:pPr>
      <w:r>
        <w:rPr>
          <w:rFonts w:hint="eastAsia" w:ascii="宋体" w:hAnsi="宋体"/>
          <w:szCs w:val="21"/>
        </w:rPr>
        <w:t>说明：</w:t>
      </w:r>
    </w:p>
    <w:p w14:paraId="5DB3D278">
      <w:pPr>
        <w:spacing w:line="240" w:lineRule="atLeast"/>
        <w:rPr>
          <w:rFonts w:ascii="宋体" w:hAnsi="宋体"/>
          <w:szCs w:val="21"/>
        </w:rPr>
      </w:pPr>
      <w:r>
        <w:rPr>
          <w:rFonts w:hint="eastAsia" w:ascii="宋体" w:hAnsi="宋体"/>
          <w:szCs w:val="21"/>
        </w:rPr>
        <w:t>履约情况评价分为优、良、中、差四个等级，请在对应的框前打“√”，然后在“具体情况说明”一栏详细说明有关情况。</w:t>
      </w:r>
      <w:r>
        <w:rPr>
          <w:rFonts w:ascii="宋体" w:hAnsi="宋体"/>
          <w:szCs w:val="21"/>
        </w:rPr>
        <w:tab/>
      </w:r>
      <w:r>
        <w:rPr>
          <w:rFonts w:ascii="宋体" w:hAnsi="宋体"/>
          <w:szCs w:val="21"/>
        </w:rPr>
        <w:tab/>
      </w:r>
    </w:p>
    <w:p w14:paraId="6B538140">
      <w:pPr>
        <w:spacing w:line="240" w:lineRule="atLeast"/>
        <w:rPr>
          <w:rFonts w:ascii="宋体" w:hAnsi="宋体"/>
          <w:szCs w:val="21"/>
        </w:rPr>
        <w:sectPr>
          <w:footerReference r:id="rId3" w:type="default"/>
          <w:pgSz w:w="11906" w:h="16838"/>
          <w:pgMar w:top="1440" w:right="1417" w:bottom="1440" w:left="1417" w:header="851" w:footer="992" w:gutter="0"/>
          <w:cols w:space="720" w:num="1"/>
          <w:titlePg/>
          <w:docGrid w:type="lines" w:linePitch="312" w:charSpace="0"/>
        </w:sectPr>
      </w:pPr>
    </w:p>
    <w:p w14:paraId="4BDC8AC1">
      <w:pPr>
        <w:jc w:val="center"/>
        <w:rPr>
          <w:rFonts w:ascii="宋体" w:hAnsi="宋体"/>
          <w:b/>
          <w:bCs/>
          <w:kern w:val="0"/>
          <w:sz w:val="24"/>
          <w:szCs w:val="20"/>
        </w:rPr>
      </w:pPr>
      <w:r>
        <w:rPr>
          <w:rFonts w:hint="eastAsia" w:ascii="宋体" w:hAnsi="宋体"/>
          <w:b/>
          <w:bCs/>
          <w:kern w:val="0"/>
          <w:sz w:val="24"/>
          <w:szCs w:val="20"/>
        </w:rPr>
        <w:t>第五章  附件</w:t>
      </w:r>
    </w:p>
    <w:p w14:paraId="782ABED0">
      <w:pPr>
        <w:jc w:val="center"/>
        <w:rPr>
          <w:rFonts w:ascii="宋体" w:hAnsi="宋体"/>
          <w:b/>
          <w:bCs/>
          <w:kern w:val="0"/>
          <w:sz w:val="24"/>
          <w:szCs w:val="20"/>
        </w:rPr>
      </w:pPr>
    </w:p>
    <w:p w14:paraId="239F25F0">
      <w:pPr>
        <w:pStyle w:val="4"/>
        <w:spacing w:before="0" w:after="0"/>
        <w:jc w:val="center"/>
      </w:pPr>
      <w:bookmarkStart w:id="20" w:name="_Toc73613644"/>
      <w:bookmarkStart w:id="21" w:name="_Toc73610162"/>
      <w:r>
        <w:rPr>
          <w:rFonts w:hint="eastAsia"/>
        </w:rPr>
        <w:t>一、财政部 工业和信息化部关于印发《政府采购促进中小企业发展管理办法》的通知</w:t>
      </w:r>
      <w:bookmarkEnd w:id="20"/>
      <w:bookmarkEnd w:id="21"/>
    </w:p>
    <w:p w14:paraId="3B02AFCB">
      <w:pPr>
        <w:pStyle w:val="37"/>
        <w:shd w:val="clear" w:color="auto" w:fill="FFFFFF"/>
        <w:spacing w:line="360" w:lineRule="auto"/>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财库〔2020〕46号</w:t>
      </w:r>
    </w:p>
    <w:p w14:paraId="3699F6FD">
      <w:pPr>
        <w:pStyle w:val="37"/>
        <w:shd w:val="clear" w:color="auto" w:fill="FFFFFF"/>
        <w:spacing w:before="0" w:beforeAutospacing="0" w:after="0" w:afterAutospacing="0" w:line="360" w:lineRule="auto"/>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各中央预算单位办公厅（室），各省、自治区、直辖市、计划单列市财政厅（局）、工业和信息化主管部门，新疆生产建设兵团财政局、工业和信息化主管部门：</w:t>
      </w:r>
    </w:p>
    <w:p w14:paraId="02D88FA9">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3513342D">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附件：政府采购促进中小企业发展管理办法</w:t>
      </w:r>
    </w:p>
    <w:p w14:paraId="50408616">
      <w:pPr>
        <w:pStyle w:val="37"/>
        <w:shd w:val="clear" w:color="auto" w:fill="FFFFFF"/>
        <w:spacing w:before="0" w:beforeAutospacing="0" w:after="0" w:afterAutospacing="0" w:line="360" w:lineRule="auto"/>
        <w:jc w:val="right"/>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财　　政　　部</w:t>
      </w:r>
    </w:p>
    <w:p w14:paraId="64239D22">
      <w:pPr>
        <w:pStyle w:val="37"/>
        <w:shd w:val="clear" w:color="auto" w:fill="FFFFFF"/>
        <w:spacing w:before="0" w:beforeAutospacing="0" w:after="0" w:afterAutospacing="0" w:line="360" w:lineRule="auto"/>
        <w:jc w:val="right"/>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工业和信息化部</w:t>
      </w:r>
    </w:p>
    <w:p w14:paraId="4816DF2D">
      <w:pPr>
        <w:pStyle w:val="37"/>
        <w:shd w:val="clear" w:color="auto" w:fill="FFFFFF"/>
        <w:spacing w:before="0" w:beforeAutospacing="0" w:after="0" w:afterAutospacing="0" w:line="360" w:lineRule="auto"/>
        <w:jc w:val="right"/>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2020年12月18日</w:t>
      </w:r>
    </w:p>
    <w:p w14:paraId="13EB3B87">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p>
    <w:p w14:paraId="66272FDF">
      <w:pPr>
        <w:pStyle w:val="37"/>
        <w:shd w:val="clear" w:color="auto" w:fill="FFFFFF"/>
        <w:spacing w:before="0" w:beforeAutospacing="0" w:after="0" w:afterAutospacing="0" w:line="360" w:lineRule="auto"/>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附件</w:t>
      </w:r>
    </w:p>
    <w:p w14:paraId="4F161C11">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p>
    <w:p w14:paraId="3D01D8D4">
      <w:pPr>
        <w:pStyle w:val="37"/>
        <w:shd w:val="clear" w:color="auto" w:fill="FFFFFF"/>
        <w:spacing w:before="0" w:beforeAutospacing="0" w:after="0" w:afterAutospacing="0" w:line="360" w:lineRule="auto"/>
        <w:jc w:val="center"/>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政府采购促进中小企业发展管理办法</w:t>
      </w:r>
    </w:p>
    <w:p w14:paraId="226A50B9">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p>
    <w:p w14:paraId="44F2FB32">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第一条</w:t>
      </w:r>
      <w:r>
        <w:rPr>
          <w:rFonts w:hint="eastAsia" w:asciiTheme="minorEastAsia" w:hAnsiTheme="minorEastAsia" w:eastAsiaTheme="minorEastAsia"/>
          <w:color w:val="333333"/>
          <w:sz w:val="21"/>
          <w:szCs w:val="21"/>
        </w:rPr>
        <w:t>　为了发挥政府采购的政策功能，促进中小企业健康发展，根据《中华人民共和国政府采购法》、《中华人民共和国中小企业促进法》等有关法律法规，制定本办法。</w:t>
      </w:r>
    </w:p>
    <w:p w14:paraId="08A8CF8A">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第二条</w:t>
      </w:r>
      <w:r>
        <w:rPr>
          <w:rFonts w:hint="eastAsia" w:asciiTheme="minorEastAsia" w:hAnsiTheme="minorEastAsia" w:eastAsiaTheme="minorEastAsia"/>
          <w:color w:val="333333"/>
          <w:sz w:val="21"/>
          <w:szCs w:val="21"/>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6CCCD734">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符合中小企业划分标准的个体工商户，在政府采购活动中视同中小企业。</w:t>
      </w:r>
    </w:p>
    <w:p w14:paraId="3FDB521B">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第三条</w:t>
      </w:r>
      <w:r>
        <w:rPr>
          <w:rFonts w:hint="eastAsia" w:asciiTheme="minorEastAsia" w:hAnsiTheme="minorEastAsia" w:eastAsiaTheme="minorEastAsia"/>
          <w:color w:val="333333"/>
          <w:sz w:val="21"/>
          <w:szCs w:val="21"/>
        </w:rPr>
        <w:t>　采购人在政府采购活动中应当通过加强采购需求管理，落实预留采购份额、价格评审优惠、优先采购等措施，提高中小企业在政府采购中的份额，支持中小企业发展。</w:t>
      </w:r>
    </w:p>
    <w:p w14:paraId="0E1CE986">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第四条</w:t>
      </w:r>
      <w:r>
        <w:rPr>
          <w:rFonts w:hint="eastAsia" w:asciiTheme="minorEastAsia" w:hAnsiTheme="minorEastAsia" w:eastAsiaTheme="minorEastAsia"/>
          <w:color w:val="333333"/>
          <w:sz w:val="21"/>
          <w:szCs w:val="21"/>
        </w:rPr>
        <w:t>　在政府采购活动中，供应商提供的货物、工程或者服务符合下列情形的，享受本办法规定的中小企业扶持政策：</w:t>
      </w:r>
    </w:p>
    <w:p w14:paraId="10D94870">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（一）在货物采购项目中，货物由中小企业制造，即货物由中小企业生产且使用该中小企业商号或者注册商标；</w:t>
      </w:r>
    </w:p>
    <w:p w14:paraId="779386D8">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（二）在工程采购项目中，工程由中小企业承建，即工程施工单位为中小企业；</w:t>
      </w:r>
    </w:p>
    <w:p w14:paraId="79CAB518">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（三）在服务采购项目中，服务由中小企业承接，即提供服务的人员为中小企业依照《中华人民共和国劳动合同法》订立劳动合同的从业人员。</w:t>
      </w:r>
    </w:p>
    <w:p w14:paraId="3DDC41E1">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在货物采购项目中，供应商提供的货物既有中小企业制造货物，也有大型企业制造货物的，不享受本办法规定的中小企业扶持政策。</w:t>
      </w:r>
    </w:p>
    <w:p w14:paraId="6C3D65BC">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以联合体形式参加政府采购活动，联合体各方均为中小企业的，联合体视同中小企业。其中，联合体各方均为小微企业的，联合体视同小微企业。</w:t>
      </w:r>
    </w:p>
    <w:p w14:paraId="247368AF">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第五条</w:t>
      </w:r>
      <w:r>
        <w:rPr>
          <w:rFonts w:hint="eastAsia" w:asciiTheme="minorEastAsia" w:hAnsiTheme="minorEastAsia" w:eastAsiaTheme="minorEastAsia"/>
          <w:color w:val="333333"/>
          <w:sz w:val="21"/>
          <w:szCs w:val="21"/>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67846F78">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第六条</w:t>
      </w:r>
      <w:r>
        <w:rPr>
          <w:rFonts w:hint="eastAsia" w:asciiTheme="minorEastAsia" w:hAnsiTheme="minorEastAsia" w:eastAsiaTheme="minorEastAsia"/>
          <w:color w:val="333333"/>
          <w:sz w:val="21"/>
          <w:szCs w:val="21"/>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69EE2D35">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符合下列情形之一的，可不专门面向中小企业预留采购份额：</w:t>
      </w:r>
    </w:p>
    <w:p w14:paraId="4010C7B6">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（一）法律法规和国家有关政策明确规定优先或者应当面向事业单位、社会组织等非企业主体采购的；</w:t>
      </w:r>
    </w:p>
    <w:p w14:paraId="50A2E935">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（二）因确需使用不可替代的专利、专有技术，基础设施限制，或者提供特定公共服务等原因，只能从中小企业之外的供应商处采购的；</w:t>
      </w:r>
    </w:p>
    <w:p w14:paraId="68A9F54E">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（三）按照本办法规定预留采购份额无法确保充分供应、充分竞争，或者存在可能影响政府采购目标实现的情形；</w:t>
      </w:r>
    </w:p>
    <w:p w14:paraId="797BC672">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（四）框架协议采购项目；</w:t>
      </w:r>
    </w:p>
    <w:p w14:paraId="47627941">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（五）省级以上人民政府财政部门规定的其他情形。</w:t>
      </w:r>
    </w:p>
    <w:p w14:paraId="3C7923EA">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除上述情形外，其他均为适宜由中小企业提供的情形。</w:t>
      </w:r>
    </w:p>
    <w:p w14:paraId="3ACD98D0">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第七条</w:t>
      </w:r>
      <w:r>
        <w:rPr>
          <w:rFonts w:hint="eastAsia" w:asciiTheme="minorEastAsia" w:hAnsiTheme="minorEastAsia" w:eastAsiaTheme="minorEastAsia"/>
          <w:color w:val="333333"/>
          <w:sz w:val="21"/>
          <w:szCs w:val="21"/>
        </w:rPr>
        <w:t>　采购限额标准以上，200万元以下的货物和服务采购项目、400万元以下的工程采购项目，适宜由中小企业提供的，采购人应当专门面向中小企业采购。</w:t>
      </w:r>
    </w:p>
    <w:p w14:paraId="085338F6">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第八条</w:t>
      </w:r>
      <w:r>
        <w:rPr>
          <w:rFonts w:hint="eastAsia" w:asciiTheme="minorEastAsia" w:hAnsiTheme="minorEastAsia" w:eastAsiaTheme="minorEastAsia"/>
          <w:color w:val="333333"/>
          <w:sz w:val="21"/>
          <w:szCs w:val="21"/>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26D8C3E6">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（一）将采购项目整体或者设置采购包专门面向中小企业采购；</w:t>
      </w:r>
    </w:p>
    <w:p w14:paraId="740D7E85">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（二）要求供应商以联合体形式参加采购活动，且联合体中中小企业承担的部分达到一定比例；</w:t>
      </w:r>
    </w:p>
    <w:p w14:paraId="39DD91DD">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（三）要求获得采购合同的供应商将采购项目中的一定比例分包给一家或者多家中小企业。</w:t>
      </w:r>
    </w:p>
    <w:p w14:paraId="2B8789C7">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组成联合体或者接受分包合同的中小企业与联合体内其他企业、分包企业之间不得存在直接控股、管理关系。</w:t>
      </w:r>
    </w:p>
    <w:p w14:paraId="0695FF0A">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第九条</w:t>
      </w:r>
      <w:r>
        <w:rPr>
          <w:rFonts w:hint="eastAsia" w:asciiTheme="minorEastAsia" w:hAnsiTheme="minorEastAsia" w:eastAsiaTheme="minorEastAsia"/>
          <w:color w:val="333333"/>
          <w:sz w:val="21"/>
          <w:szCs w:val="21"/>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26BCE9F">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58A962EF">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47814C9E">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第十条</w:t>
      </w:r>
      <w:r>
        <w:rPr>
          <w:rFonts w:hint="eastAsia" w:asciiTheme="minorEastAsia" w:hAnsiTheme="minorEastAsia" w:eastAsiaTheme="minorEastAsia"/>
          <w:color w:val="333333"/>
          <w:sz w:val="21"/>
          <w:szCs w:val="21"/>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12AF0B03">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第十一条</w:t>
      </w:r>
      <w:r>
        <w:rPr>
          <w:rFonts w:hint="eastAsia" w:asciiTheme="minorEastAsia" w:hAnsiTheme="minorEastAsia" w:eastAsiaTheme="minorEastAsia"/>
          <w:color w:val="333333"/>
          <w:sz w:val="21"/>
          <w:szCs w:val="21"/>
        </w:rPr>
        <w:t>　中小企业参加政府采购活动，应当出具本办法规定的《中小企业声明函》（附1），否则不得享受相关中小企业扶持政策。任何单位和个人不得要求供应商提供《中小企业声明函》之外的中小企业身份证明文件。</w:t>
      </w:r>
    </w:p>
    <w:p w14:paraId="6CE0AF67">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第十二条</w:t>
      </w:r>
      <w:r>
        <w:rPr>
          <w:rFonts w:hint="eastAsia" w:asciiTheme="minorEastAsia" w:hAnsiTheme="minorEastAsia" w:eastAsiaTheme="minorEastAsia"/>
          <w:color w:val="333333"/>
          <w:sz w:val="21"/>
          <w:szCs w:val="21"/>
        </w:rPr>
        <w:t>　采购项目涉及中小企业采购的，采购文件应当明确以下内容：</w:t>
      </w:r>
    </w:p>
    <w:p w14:paraId="3D973A99">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（一）预留份额的采购项目或者采购包，明确该项目或相关采购包专门面向中小企业采购，以及相关标的及预算金额；</w:t>
      </w:r>
    </w:p>
    <w:p w14:paraId="52F83DBA">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（二）要求以联合体形式参加或者合同分包的，明确联合协议或者分包意向协议中中小企业合同金额应当达到的比例，并作为供应商资格条件；</w:t>
      </w:r>
    </w:p>
    <w:p w14:paraId="16E0B871">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（三）非预留份额的采购项目或者采购包，明确有关价格扣除比例或者价格分加分比例；</w:t>
      </w:r>
    </w:p>
    <w:p w14:paraId="5543CD38">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（四）规定依据本办法规定享受扶持政策获得政府采购合同的，小微企业不得将合同分包给大中型企业，中型企业不得将合同分包给大型企业；</w:t>
      </w:r>
    </w:p>
    <w:p w14:paraId="4DDF5C1D">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（五）采购人认为具备相关条件的，明确对中小企业在资金支付期限、预付款比例等方面的优惠措施；</w:t>
      </w:r>
    </w:p>
    <w:p w14:paraId="5FD4AEA9">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（六）明确采购标的对应的中小企业划分标准所属行业；</w:t>
      </w:r>
    </w:p>
    <w:p w14:paraId="7D8176D7">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（七）法律法规和省级以上人民政府财政部门规定的其他事项。</w:t>
      </w:r>
    </w:p>
    <w:p w14:paraId="2C97174C">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第十三条</w:t>
      </w:r>
      <w:r>
        <w:rPr>
          <w:rFonts w:hint="eastAsia" w:asciiTheme="minorEastAsia" w:hAnsiTheme="minorEastAsia" w:eastAsiaTheme="minorEastAsia"/>
          <w:color w:val="333333"/>
          <w:sz w:val="21"/>
          <w:szCs w:val="21"/>
        </w:rPr>
        <w:t>　中标、成交供应商享受本办法规定的中小企业扶持政策的，采购人、采购代理机构应当随中标、成交结果公开中标、成交供应商的《中小企业声明函》。</w:t>
      </w:r>
    </w:p>
    <w:p w14:paraId="077A0DB7">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适用招标投标法的政府采购工程建设项目，应当在公示中标候选人时公开中标候选人的《中小企业声明函》。</w:t>
      </w:r>
    </w:p>
    <w:p w14:paraId="6A60990D">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第十四条</w:t>
      </w:r>
      <w:r>
        <w:rPr>
          <w:rFonts w:hint="eastAsia" w:asciiTheme="minorEastAsia" w:hAnsiTheme="minorEastAsia" w:eastAsiaTheme="minorEastAsia"/>
          <w:color w:val="333333"/>
          <w:sz w:val="21"/>
          <w:szCs w:val="21"/>
        </w:rPr>
        <w:t>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52871BE5">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第十五条</w:t>
      </w:r>
      <w:r>
        <w:rPr>
          <w:rFonts w:hint="eastAsia" w:asciiTheme="minorEastAsia" w:hAnsiTheme="minorEastAsia" w:eastAsiaTheme="minorEastAsia"/>
          <w:color w:val="333333"/>
          <w:sz w:val="21"/>
          <w:szCs w:val="21"/>
        </w:rPr>
        <w:t>　鼓励各地区、各部门在采购活动中允许中小企业引入信用担保手段，为中小企业在投标（响应）保证、履约保证等方面提供专业化服务。鼓励中小企业依法合规通过政府采购合同融资。</w:t>
      </w:r>
    </w:p>
    <w:p w14:paraId="677B216C">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第十六条</w:t>
      </w:r>
      <w:r>
        <w:rPr>
          <w:rFonts w:hint="eastAsia" w:asciiTheme="minorEastAsia" w:hAnsiTheme="minorEastAsia" w:eastAsiaTheme="minorEastAsia"/>
          <w:color w:val="333333"/>
          <w:sz w:val="21"/>
          <w:szCs w:val="21"/>
        </w:rPr>
        <w:t>　政府采购监督检查、投诉处理及政府采购行政处罚中对中小企业的认定，由货物制造商或者工程、服务供应商注册登记所在地的县级以上人民政府中小企业主管部门负责。</w:t>
      </w:r>
    </w:p>
    <w:p w14:paraId="7D79FF0D">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中小企业主管部门应当在收到财政部门或者有关招标投标行政监督部门关于协助开展中小企业认定函后10个工作日内做出书面答复。</w:t>
      </w:r>
    </w:p>
    <w:p w14:paraId="6573D524">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第十七条</w:t>
      </w:r>
      <w:r>
        <w:rPr>
          <w:rFonts w:hint="eastAsia" w:asciiTheme="minorEastAsia" w:hAnsiTheme="minorEastAsia" w:eastAsiaTheme="minorEastAsia"/>
          <w:color w:val="333333"/>
          <w:sz w:val="21"/>
          <w:szCs w:val="21"/>
        </w:rPr>
        <w:t>　各地区、各部门应当对涉及中小企业采购的预算项目实施全过程绩效管理，合理设置绩效目标和指标，落实扶持中小企业有关政策要求，定期开展绩效监控和评价，强化绩效评价结果应用。</w:t>
      </w:r>
    </w:p>
    <w:p w14:paraId="0CB418E7">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第十八条</w:t>
      </w:r>
      <w:r>
        <w:rPr>
          <w:rFonts w:hint="eastAsia" w:asciiTheme="minorEastAsia" w:hAnsiTheme="minorEastAsia" w:eastAsiaTheme="minorEastAsia"/>
          <w:color w:val="333333"/>
          <w:sz w:val="21"/>
          <w:szCs w:val="21"/>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14891957">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第十九条</w:t>
      </w:r>
      <w:r>
        <w:rPr>
          <w:rFonts w:hint="eastAsia" w:asciiTheme="minorEastAsia" w:hAnsiTheme="minorEastAsia" w:eastAsiaTheme="minorEastAsia"/>
          <w:color w:val="333333"/>
          <w:sz w:val="21"/>
          <w:szCs w:val="21"/>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6F37E59C">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第二十条</w:t>
      </w:r>
      <w:r>
        <w:rPr>
          <w:rFonts w:hint="eastAsia" w:asciiTheme="minorEastAsia" w:hAnsiTheme="minorEastAsia" w:eastAsiaTheme="minorEastAsia"/>
          <w:color w:val="333333"/>
          <w:sz w:val="21"/>
          <w:szCs w:val="21"/>
        </w:rPr>
        <w:t>　供应商按照本办法规定提供声明函内容不实的，属于提供虚假材料谋取中标、成交，依照《中华人民共和国政府采购法》等国家有关规定追究相应责任。</w:t>
      </w:r>
    </w:p>
    <w:p w14:paraId="445828D6">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color w:val="333333"/>
          <w:sz w:val="21"/>
          <w:szCs w:val="21"/>
        </w:rPr>
        <w:t>适用招标投标法的政府采购工程建设项目，投标人按照本办法规定提供声明函内容不实的，属于弄虚作假骗取中标，依照《中华人民共和国招标投标法》等国家有关规定追究相应责任。</w:t>
      </w:r>
    </w:p>
    <w:p w14:paraId="246A8701">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第二十一条</w:t>
      </w:r>
      <w:r>
        <w:rPr>
          <w:rFonts w:hint="eastAsia" w:asciiTheme="minorEastAsia" w:hAnsiTheme="minorEastAsia" w:eastAsiaTheme="minorEastAsia"/>
          <w:color w:val="333333"/>
          <w:sz w:val="21"/>
          <w:szCs w:val="21"/>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267651A1">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第二十二条</w:t>
      </w:r>
      <w:r>
        <w:rPr>
          <w:rFonts w:hint="eastAsia" w:asciiTheme="minorEastAsia" w:hAnsiTheme="minorEastAsia" w:eastAsiaTheme="minorEastAsia"/>
          <w:color w:val="333333"/>
          <w:sz w:val="21"/>
          <w:szCs w:val="21"/>
        </w:rPr>
        <w:t>　对外援助项目、国家相关资格或者资质管理制度另有规定的项目，不适用本办法。</w:t>
      </w:r>
    </w:p>
    <w:p w14:paraId="02049CB4">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第二十三条</w:t>
      </w:r>
      <w:r>
        <w:rPr>
          <w:rFonts w:hint="eastAsia" w:asciiTheme="minorEastAsia" w:hAnsiTheme="minorEastAsia" w:eastAsiaTheme="minorEastAsia"/>
          <w:color w:val="333333"/>
          <w:sz w:val="21"/>
          <w:szCs w:val="21"/>
        </w:rPr>
        <w:t>　关于视同中小企业的其他主体的政府采购扶持政策，由财政部会同有关部门另行规定。</w:t>
      </w:r>
    </w:p>
    <w:p w14:paraId="491DF437">
      <w:pPr>
        <w:pStyle w:val="37"/>
        <w:shd w:val="clear" w:color="auto" w:fill="FFFFFF"/>
        <w:spacing w:before="0" w:beforeAutospacing="0" w:after="0" w:afterAutospacing="0" w:line="360" w:lineRule="auto"/>
        <w:ind w:firstLine="480"/>
        <w:jc w:val="both"/>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第二十四条</w:t>
      </w:r>
      <w:r>
        <w:rPr>
          <w:rFonts w:hint="eastAsia" w:asciiTheme="minorEastAsia" w:hAnsiTheme="minorEastAsia" w:eastAsiaTheme="minorEastAsia"/>
          <w:color w:val="333333"/>
          <w:sz w:val="21"/>
          <w:szCs w:val="21"/>
        </w:rPr>
        <w:t>　省级财政部门可以会同中小企业主管部门根据本办法的规定制定具体实施办法。</w:t>
      </w:r>
    </w:p>
    <w:p w14:paraId="08E860D4">
      <w:pPr>
        <w:pStyle w:val="37"/>
        <w:shd w:val="clear" w:color="auto" w:fill="FFFFFF"/>
        <w:spacing w:before="0" w:beforeAutospacing="0" w:after="0" w:afterAutospacing="0" w:line="360" w:lineRule="auto"/>
        <w:ind w:firstLine="480"/>
        <w:rPr>
          <w:rFonts w:asciiTheme="minorEastAsia" w:hAnsiTheme="minorEastAsia" w:eastAsiaTheme="minorEastAsia"/>
          <w:color w:val="333333"/>
          <w:sz w:val="21"/>
          <w:szCs w:val="21"/>
        </w:rPr>
      </w:pPr>
      <w:r>
        <w:rPr>
          <w:rFonts w:hint="eastAsia" w:asciiTheme="minorEastAsia" w:hAnsiTheme="minorEastAsia" w:eastAsiaTheme="minorEastAsia"/>
          <w:b/>
          <w:bCs/>
          <w:color w:val="333333"/>
          <w:sz w:val="21"/>
          <w:szCs w:val="21"/>
        </w:rPr>
        <w:t>第二十五条</w:t>
      </w:r>
      <w:r>
        <w:rPr>
          <w:rFonts w:hint="eastAsia" w:asciiTheme="minorEastAsia" w:hAnsiTheme="minorEastAsia" w:eastAsiaTheme="minorEastAsia"/>
          <w:color w:val="333333"/>
          <w:sz w:val="21"/>
          <w:szCs w:val="21"/>
        </w:rPr>
        <w:t>　本办法自2021年1月1日起施行。《财政部 工业和信息化部关于印发〈政府采购促进中小企业发展暂行办法〉的通知》（财库〔2011〕181号）同时废止。</w:t>
      </w:r>
    </w:p>
    <w:p w14:paraId="02D3D5B1">
      <w:pPr>
        <w:pStyle w:val="37"/>
        <w:shd w:val="clear" w:color="auto" w:fill="FFFFFF"/>
        <w:spacing w:before="0" w:beforeAutospacing="0" w:after="0" w:afterAutospacing="0" w:line="360" w:lineRule="auto"/>
        <w:ind w:firstLine="480"/>
        <w:rPr>
          <w:rFonts w:asciiTheme="minorEastAsia" w:hAnsiTheme="minorEastAsia" w:eastAsiaTheme="minorEastAsia"/>
          <w:color w:val="333333"/>
          <w:sz w:val="21"/>
          <w:szCs w:val="21"/>
        </w:rPr>
      </w:pPr>
    </w:p>
    <w:p w14:paraId="00916804">
      <w:pPr>
        <w:spacing w:line="360" w:lineRule="auto"/>
        <w:rPr>
          <w:rFonts w:asciiTheme="minorEastAsia" w:hAnsiTheme="minorEastAsia" w:eastAsiaTheme="minorEastAsia"/>
          <w:szCs w:val="21"/>
        </w:rPr>
      </w:pPr>
    </w:p>
    <w:p w14:paraId="451CD883">
      <w:pPr>
        <w:pStyle w:val="4"/>
        <w:spacing w:before="0" w:after="0"/>
        <w:jc w:val="center"/>
      </w:pPr>
      <w:bookmarkStart w:id="22" w:name="_Toc73610163"/>
      <w:bookmarkStart w:id="23" w:name="_Toc73613645"/>
      <w:r>
        <w:rPr>
          <w:rFonts w:hint="eastAsia"/>
        </w:rPr>
        <w:t>二、关于印发中小企业划型标准规定的通知</w:t>
      </w:r>
      <w:bookmarkEnd w:id="22"/>
      <w:bookmarkEnd w:id="23"/>
    </w:p>
    <w:p w14:paraId="3D5E0408">
      <w:pPr>
        <w:pStyle w:val="37"/>
        <w:shd w:val="clear" w:color="auto" w:fill="FFFFFF"/>
        <w:spacing w:line="360" w:lineRule="auto"/>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工信部联企业〔2011〕300号</w:t>
      </w:r>
    </w:p>
    <w:p w14:paraId="3A79AE40">
      <w:pPr>
        <w:pStyle w:val="37"/>
        <w:shd w:val="clear" w:color="auto" w:fill="FFFFFF"/>
        <w:spacing w:line="360" w:lineRule="auto"/>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各省、自治区、直辖市人民政府，国务院各部委、各直属机构及有关单位：</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DB7A84D">
      <w:pPr>
        <w:pStyle w:val="37"/>
        <w:shd w:val="clear" w:color="auto" w:fill="FFFFFF"/>
        <w:spacing w:line="360" w:lineRule="auto"/>
        <w:jc w:val="righ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工业和信息化部　国家统计局</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国家发展和改革委员会　财政部</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二○一一年六月十八日</w:t>
      </w:r>
    </w:p>
    <w:p w14:paraId="2EC89324">
      <w:pPr>
        <w:pStyle w:val="37"/>
        <w:shd w:val="clear" w:color="auto" w:fill="FFFFFF"/>
        <w:spacing w:line="360" w:lineRule="auto"/>
        <w:jc w:val="center"/>
        <w:rPr>
          <w:rFonts w:asciiTheme="minorEastAsia" w:hAnsiTheme="minorEastAsia" w:eastAsiaTheme="minorEastAsia"/>
          <w:color w:val="000000"/>
          <w:sz w:val="21"/>
          <w:szCs w:val="21"/>
        </w:rPr>
      </w:pPr>
      <w:r>
        <w:rPr>
          <w:rStyle w:val="45"/>
          <w:rFonts w:hint="eastAsia" w:asciiTheme="minorEastAsia" w:hAnsiTheme="minorEastAsia" w:eastAsiaTheme="minorEastAsia"/>
          <w:color w:val="000000"/>
          <w:sz w:val="21"/>
          <w:szCs w:val="21"/>
        </w:rPr>
        <w:t>中小企业划型标准规定</w:t>
      </w:r>
    </w:p>
    <w:p w14:paraId="4173A192">
      <w:pPr>
        <w:pStyle w:val="37"/>
        <w:shd w:val="clear" w:color="auto" w:fill="FFFFFF"/>
        <w:spacing w:line="360" w:lineRule="auto"/>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　　一、根据《中华人民共和国中小企业促进法》和《国务院关于进一步促进中小企业发展的若干意见》(国发〔2009〕36号)，制定本规定。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二、中小企业划分为中型、小型、微型三种类型，具体标准根据企业从业人员、营业收入、资产总额等指标，结合行业特点制定。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四、各行业划型标准为：</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（一）农、林、牧、渔业。营业收入20000万元以下的为中小微型企业。其中，营业收入500万元及以上的为中型企业，营业收入50万元及以上的为小型企业，营业收入50万元以下的为微型企业。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（十六）其他未列明行业。从业人员300人以下的为中小微型企业。其中，从业人员100人及以上的为中型企业；从业人员10人及以上的为小型企业；从业人员10人以下的为微型企业。</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五、企业类型的划分以统计部门的统计数据为依据。</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六、本规定适用于在中华人民共和国境内依法设立的各类所有制和各种组织形式的企业。个体工商户和本规定以外的行业，参照本规定进行划型。</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八、本规定由工业和信息化部、国家统计局会同有关部门根据《国民经济行业分类》修订情况和企业发展变化情况适时修订。</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九、本规定由工业和信息化部、国家统计局会同有关部门负责解释。</w:t>
      </w:r>
      <w:r>
        <w:rPr>
          <w:rFonts w:hint="eastAsia" w:asciiTheme="minorEastAsia" w:hAnsiTheme="minorEastAsia" w:eastAsiaTheme="minorEastAsia"/>
          <w:color w:val="000000"/>
          <w:sz w:val="21"/>
          <w:szCs w:val="21"/>
        </w:rPr>
        <w:br w:type="textWrapping"/>
      </w:r>
      <w:r>
        <w:rPr>
          <w:rFonts w:hint="eastAsia" w:asciiTheme="minorEastAsia" w:hAnsiTheme="minorEastAsia" w:eastAsiaTheme="minorEastAsia"/>
          <w:color w:val="000000"/>
          <w:sz w:val="21"/>
          <w:szCs w:val="21"/>
        </w:rPr>
        <w:t>　　十、本规定自发布之日起执行，原国家经贸委、原国家计委、财政部和国家统计局2003年颁布的《中小企业标准暂行规定》同时废止。</w:t>
      </w:r>
    </w:p>
    <w:p w14:paraId="157C4A75">
      <w:pPr>
        <w:pStyle w:val="37"/>
        <w:shd w:val="clear" w:color="auto" w:fill="FFFFFF"/>
        <w:spacing w:line="360" w:lineRule="auto"/>
        <w:rPr>
          <w:rFonts w:asciiTheme="minorEastAsia" w:hAnsiTheme="minorEastAsia" w:eastAsiaTheme="minorEastAsia"/>
          <w:color w:val="000000"/>
          <w:sz w:val="21"/>
          <w:szCs w:val="21"/>
        </w:rPr>
      </w:pPr>
    </w:p>
    <w:p w14:paraId="3CF2806F">
      <w:pPr>
        <w:pStyle w:val="4"/>
        <w:spacing w:before="0" w:after="0"/>
        <w:jc w:val="center"/>
        <w:rPr>
          <w:rFonts w:asciiTheme="minorEastAsia" w:hAnsiTheme="minorEastAsia" w:eastAsiaTheme="minorEastAsia"/>
        </w:rPr>
      </w:pPr>
      <w:bookmarkStart w:id="24" w:name="_Toc73610164"/>
      <w:bookmarkStart w:id="25" w:name="_Toc73613646"/>
      <w:r>
        <w:rPr>
          <w:rFonts w:hint="eastAsia" w:asciiTheme="minorEastAsia" w:hAnsiTheme="minorEastAsia" w:eastAsiaTheme="minorEastAsia"/>
          <w:bCs w:val="0"/>
        </w:rPr>
        <w:t>三、</w:t>
      </w:r>
      <w:r>
        <w:rPr>
          <w:rFonts w:asciiTheme="minorEastAsia" w:hAnsiTheme="minorEastAsia" w:eastAsiaTheme="minorEastAsia"/>
          <w:bCs w:val="0"/>
        </w:rPr>
        <w:t>国家统计局关于印发《统计上大中小微型企业划分办法 （2017）》的通知</w:t>
      </w:r>
      <w:bookmarkEnd w:id="24"/>
      <w:bookmarkEnd w:id="25"/>
      <w:r>
        <w:rPr>
          <w:rFonts w:asciiTheme="minorEastAsia" w:hAnsiTheme="minorEastAsia" w:eastAsiaTheme="minorEastAsia"/>
          <w:bCs w:val="0"/>
        </w:rPr>
        <w:t> </w:t>
      </w:r>
    </w:p>
    <w:p w14:paraId="3FFFF84D">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国统字〔2017〕213号</w:t>
      </w:r>
    </w:p>
    <w:p w14:paraId="16715490">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各省、自治区、直辖市统计局，新疆生产建设兵团统计局，国务院各有关部门，国家统计局各调查总队：</w:t>
      </w:r>
    </w:p>
    <w:p w14:paraId="5BAE7A80">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00510D8">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附件：《统计上大中小微型企业划分办法（2017）》修订说明</w:t>
      </w:r>
    </w:p>
    <w:p w14:paraId="7053ACF1">
      <w:pPr>
        <w:widowControl/>
        <w:spacing w:line="360" w:lineRule="auto"/>
        <w:jc w:val="right"/>
        <w:rPr>
          <w:rFonts w:cs="宋体" w:asciiTheme="minorEastAsia" w:hAnsiTheme="minorEastAsia" w:eastAsiaTheme="minorEastAsia"/>
          <w:kern w:val="0"/>
          <w:szCs w:val="21"/>
        </w:rPr>
      </w:pPr>
      <w:r>
        <w:rPr>
          <w:rFonts w:cs="宋体" w:asciiTheme="minorEastAsia" w:hAnsiTheme="minorEastAsia" w:eastAsiaTheme="minorEastAsia"/>
          <w:kern w:val="0"/>
          <w:szCs w:val="21"/>
        </w:rPr>
        <w:t>国家统计局</w:t>
      </w:r>
    </w:p>
    <w:p w14:paraId="3BAB82C2">
      <w:pPr>
        <w:widowControl/>
        <w:spacing w:line="360" w:lineRule="auto"/>
        <w:jc w:val="right"/>
        <w:rPr>
          <w:rFonts w:cs="宋体" w:asciiTheme="minorEastAsia" w:hAnsiTheme="minorEastAsia" w:eastAsiaTheme="minorEastAsia"/>
          <w:kern w:val="0"/>
          <w:szCs w:val="21"/>
        </w:rPr>
      </w:pPr>
      <w:r>
        <w:rPr>
          <w:rFonts w:cs="宋体" w:asciiTheme="minorEastAsia" w:hAnsiTheme="minorEastAsia" w:eastAsiaTheme="minorEastAsia"/>
          <w:kern w:val="0"/>
          <w:szCs w:val="21"/>
        </w:rPr>
        <w:t>2017年12月28日</w:t>
      </w:r>
    </w:p>
    <w:p w14:paraId="1BF987A8">
      <w:pPr>
        <w:widowControl/>
        <w:spacing w:line="360" w:lineRule="auto"/>
        <w:jc w:val="center"/>
        <w:rPr>
          <w:rFonts w:cs="宋体" w:asciiTheme="minorEastAsia" w:hAnsiTheme="minorEastAsia" w:eastAsiaTheme="minorEastAsia"/>
          <w:b/>
          <w:bCs/>
          <w:kern w:val="0"/>
          <w:szCs w:val="21"/>
        </w:rPr>
      </w:pPr>
    </w:p>
    <w:p w14:paraId="62DC6086">
      <w:pPr>
        <w:widowControl/>
        <w:spacing w:line="360" w:lineRule="auto"/>
        <w:jc w:val="center"/>
        <w:rPr>
          <w:rFonts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统计上大中小微型企业划分办法（2017）</w:t>
      </w:r>
    </w:p>
    <w:p w14:paraId="2EAF1C06">
      <w:pPr>
        <w:widowControl/>
        <w:spacing w:line="360" w:lineRule="auto"/>
        <w:jc w:val="left"/>
        <w:rPr>
          <w:rFonts w:cs="宋体" w:asciiTheme="minorEastAsia" w:hAnsiTheme="minorEastAsia" w:eastAsiaTheme="minorEastAsia"/>
          <w:kern w:val="0"/>
          <w:szCs w:val="21"/>
        </w:rPr>
      </w:pPr>
    </w:p>
    <w:p w14:paraId="49BE5364">
      <w:pPr>
        <w:widowControl/>
        <w:spacing w:line="360" w:lineRule="auto"/>
        <w:ind w:left="1"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EF1CDC9">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二、本办法适用对象为在中华人民共和国境内依法设立的各种组织形式的法人企业或单位。个体工商户参照本办法进行划分。</w:t>
      </w:r>
    </w:p>
    <w:p w14:paraId="7F4D0274">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E9CB9F3">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四、本办法按照行业门类、大类、中类和组合类别，依据从业人员、营业收入、资产总额等指标或替代指标，将我国的企业划分为大型、中型、小型、微型等四种类型。具体划分标准见附表。</w:t>
      </w:r>
    </w:p>
    <w:p w14:paraId="1F896A13">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五、企业划分由政府综合统计部门根据统计年报每年确定一次，定报统计原则上不进行调整。</w:t>
      </w:r>
    </w:p>
    <w:p w14:paraId="6202454B">
      <w:pPr>
        <w:widowControl/>
        <w:spacing w:line="360" w:lineRule="auto"/>
        <w:ind w:left="1"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六、本办法自印发之日起执行，国家统计局2011年印发的《统计上大中小微型企业划分办法》（国统字〔2011〕75号）同时废止。</w:t>
      </w:r>
    </w:p>
    <w:p w14:paraId="5919AEC8">
      <w:pPr>
        <w:widowControl/>
        <w:spacing w:line="360" w:lineRule="auto"/>
        <w:jc w:val="left"/>
        <w:rPr>
          <w:rFonts w:cs="宋体" w:asciiTheme="minorEastAsia" w:hAnsiTheme="minorEastAsia" w:eastAsiaTheme="minorEastAsia"/>
          <w:kern w:val="0"/>
          <w:szCs w:val="21"/>
        </w:rPr>
      </w:pPr>
    </w:p>
    <w:p w14:paraId="71DAAF87">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附件</w:t>
      </w:r>
    </w:p>
    <w:p w14:paraId="62BDC6B1">
      <w:pPr>
        <w:widowControl/>
        <w:spacing w:line="360" w:lineRule="auto"/>
        <w:jc w:val="center"/>
        <w:rPr>
          <w:rFonts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《统计上大中小微型企业划分办法（2017）》修订说明</w:t>
      </w:r>
    </w:p>
    <w:p w14:paraId="6386FB57">
      <w:pPr>
        <w:widowControl/>
        <w:spacing w:line="360" w:lineRule="auto"/>
        <w:jc w:val="left"/>
        <w:rPr>
          <w:rFonts w:cs="宋体" w:asciiTheme="minorEastAsia" w:hAnsiTheme="minorEastAsia" w:eastAsiaTheme="minorEastAsia"/>
          <w:kern w:val="0"/>
          <w:szCs w:val="21"/>
        </w:rPr>
      </w:pPr>
    </w:p>
    <w:p w14:paraId="0E99D249">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一、修订背景</w:t>
      </w:r>
    </w:p>
    <w:p w14:paraId="32A92431">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44543F9D">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FABBE22">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二、修订主要内容</w:t>
      </w:r>
    </w:p>
    <w:p w14:paraId="1D1EC437">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4D2EED4B">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将交通运输业中包括的“装卸搬运和运输代理业”修改为“多式联运和运输代理业、装卸搬运”。</w:t>
      </w:r>
    </w:p>
    <w:p w14:paraId="3C999436">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仓储业所包括的行业中类，根据《国民经济行业分类》（GB/T 4754—2017）调整为“通用仓储，低温仓储，危险品仓储，谷物、棉花等农产品仓储，中药材仓储和其他仓储业”。</w:t>
      </w:r>
    </w:p>
    <w:p w14:paraId="458A37DA">
      <w:pPr>
        <w:widowControl/>
        <w:spacing w:line="360" w:lineRule="auto"/>
        <w:jc w:val="left"/>
        <w:rPr>
          <w:rFonts w:cs="宋体" w:asciiTheme="minorEastAsia" w:hAnsiTheme="minorEastAsia" w:eastAsiaTheme="minorEastAsia"/>
          <w:kern w:val="0"/>
          <w:szCs w:val="21"/>
        </w:rPr>
      </w:pPr>
    </w:p>
    <w:p w14:paraId="176E6915">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附表</w:t>
      </w:r>
    </w:p>
    <w:p w14:paraId="508B8AF6">
      <w:pPr>
        <w:widowControl/>
        <w:spacing w:line="360" w:lineRule="auto"/>
        <w:jc w:val="center"/>
        <w:rPr>
          <w:rFonts w:cs="宋体" w:asciiTheme="minorEastAsia" w:hAnsiTheme="minorEastAsia" w:eastAsiaTheme="minorEastAsia"/>
          <w:kern w:val="0"/>
          <w:szCs w:val="21"/>
        </w:rPr>
      </w:pPr>
      <w:r>
        <w:rPr>
          <w:rFonts w:cs="宋体" w:asciiTheme="minorEastAsia" w:hAnsiTheme="minorEastAsia" w:eastAsiaTheme="minorEastAsia"/>
          <w:b/>
          <w:bCs/>
          <w:kern w:val="0"/>
          <w:szCs w:val="21"/>
        </w:rPr>
        <w:t>统计上大中小微型企业划分标准</w:t>
      </w:r>
    </w:p>
    <w:tbl>
      <w:tblPr>
        <w:tblStyle w:val="42"/>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71C54875">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shd w:val="clear" w:color="auto" w:fill="auto"/>
            <w:vAlign w:val="center"/>
          </w:tcPr>
          <w:p w14:paraId="11603E42">
            <w:pPr>
              <w:widowControl/>
              <w:spacing w:line="240" w:lineRule="exact"/>
              <w:jc w:val="center"/>
              <w:rPr>
                <w:rFonts w:ascii="宋体" w:hAnsi="宋体" w:cs="宋体"/>
                <w:b/>
                <w:bCs/>
                <w:color w:val="000000"/>
                <w:kern w:val="0"/>
                <w:sz w:val="18"/>
                <w:szCs w:val="21"/>
              </w:rPr>
            </w:pPr>
            <w:r>
              <w:rPr>
                <w:rFonts w:hint="eastAsia" w:ascii="宋体" w:hAnsi="宋体" w:cs="宋体"/>
                <w:b/>
                <w:bCs/>
                <w:color w:val="000000"/>
                <w:kern w:val="0"/>
                <w:sz w:val="18"/>
                <w:szCs w:val="21"/>
              </w:rPr>
              <w:t>行业名称</w:t>
            </w:r>
          </w:p>
        </w:tc>
        <w:tc>
          <w:tcPr>
            <w:tcW w:w="1369" w:type="dxa"/>
            <w:tcBorders>
              <w:top w:val="single" w:color="auto" w:sz="4" w:space="0"/>
              <w:left w:val="nil"/>
              <w:bottom w:val="single" w:color="auto" w:sz="4" w:space="0"/>
              <w:right w:val="single" w:color="auto" w:sz="4" w:space="0"/>
            </w:tcBorders>
            <w:shd w:val="clear" w:color="auto" w:fill="auto"/>
            <w:vAlign w:val="center"/>
          </w:tcPr>
          <w:p w14:paraId="4FC63FF1">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709" w:type="dxa"/>
            <w:tcBorders>
              <w:top w:val="single" w:color="auto" w:sz="4" w:space="0"/>
              <w:left w:val="nil"/>
              <w:bottom w:val="single" w:color="auto" w:sz="4" w:space="0"/>
              <w:right w:val="single" w:color="auto" w:sz="4" w:space="0"/>
            </w:tcBorders>
            <w:shd w:val="clear" w:color="auto" w:fill="auto"/>
            <w:vAlign w:val="center"/>
          </w:tcPr>
          <w:p w14:paraId="0A33E5A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计量</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单位</w:t>
            </w:r>
          </w:p>
        </w:tc>
        <w:tc>
          <w:tcPr>
            <w:tcW w:w="1125" w:type="dxa"/>
            <w:tcBorders>
              <w:top w:val="single" w:color="auto" w:sz="4" w:space="0"/>
              <w:left w:val="nil"/>
              <w:bottom w:val="single" w:color="auto" w:sz="4" w:space="0"/>
              <w:right w:val="single" w:color="auto" w:sz="4" w:space="0"/>
            </w:tcBorders>
            <w:shd w:val="clear" w:color="auto" w:fill="auto"/>
            <w:vAlign w:val="center"/>
          </w:tcPr>
          <w:p w14:paraId="0B8969D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大型</w:t>
            </w:r>
          </w:p>
        </w:tc>
        <w:tc>
          <w:tcPr>
            <w:tcW w:w="1701" w:type="dxa"/>
            <w:tcBorders>
              <w:top w:val="single" w:color="auto" w:sz="4" w:space="0"/>
              <w:left w:val="nil"/>
              <w:bottom w:val="single" w:color="auto" w:sz="4" w:space="0"/>
              <w:right w:val="single" w:color="auto" w:sz="4" w:space="0"/>
            </w:tcBorders>
            <w:shd w:val="clear" w:color="auto" w:fill="auto"/>
            <w:vAlign w:val="center"/>
          </w:tcPr>
          <w:p w14:paraId="2B429842">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中型</w:t>
            </w:r>
          </w:p>
        </w:tc>
        <w:tc>
          <w:tcPr>
            <w:tcW w:w="1426" w:type="dxa"/>
            <w:tcBorders>
              <w:top w:val="single" w:color="auto" w:sz="4" w:space="0"/>
              <w:left w:val="nil"/>
              <w:bottom w:val="single" w:color="auto" w:sz="4" w:space="0"/>
              <w:right w:val="single" w:color="auto" w:sz="4" w:space="0"/>
            </w:tcBorders>
            <w:shd w:val="clear" w:color="auto" w:fill="auto"/>
            <w:vAlign w:val="center"/>
          </w:tcPr>
          <w:p w14:paraId="174D46EA">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小型</w:t>
            </w:r>
          </w:p>
        </w:tc>
        <w:tc>
          <w:tcPr>
            <w:tcW w:w="992" w:type="dxa"/>
            <w:tcBorders>
              <w:top w:val="single" w:color="auto" w:sz="4" w:space="0"/>
              <w:left w:val="nil"/>
              <w:bottom w:val="single" w:color="auto" w:sz="4" w:space="0"/>
              <w:right w:val="nil"/>
            </w:tcBorders>
            <w:shd w:val="clear" w:color="auto" w:fill="auto"/>
            <w:vAlign w:val="center"/>
          </w:tcPr>
          <w:p w14:paraId="4BE9424F">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微型</w:t>
            </w:r>
          </w:p>
        </w:tc>
      </w:tr>
      <w:tr w14:paraId="7413FF4E">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34DA949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农、林、牧、渔业</w:t>
            </w:r>
          </w:p>
        </w:tc>
        <w:tc>
          <w:tcPr>
            <w:tcW w:w="1369" w:type="dxa"/>
            <w:tcBorders>
              <w:top w:val="nil"/>
              <w:left w:val="nil"/>
              <w:bottom w:val="single" w:color="auto" w:sz="4" w:space="0"/>
              <w:right w:val="single" w:color="auto" w:sz="4" w:space="0"/>
            </w:tcBorders>
            <w:shd w:val="clear" w:color="auto" w:fill="auto"/>
            <w:vAlign w:val="center"/>
          </w:tcPr>
          <w:p w14:paraId="3D5C4701">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596ACB52">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572E3ED">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22F555A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4DA5716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50≤Y＜500</w:t>
            </w:r>
          </w:p>
        </w:tc>
        <w:tc>
          <w:tcPr>
            <w:tcW w:w="992" w:type="dxa"/>
            <w:tcBorders>
              <w:top w:val="nil"/>
              <w:left w:val="nil"/>
              <w:bottom w:val="single" w:color="auto" w:sz="4" w:space="0"/>
              <w:right w:val="nil"/>
            </w:tcBorders>
            <w:shd w:val="clear" w:color="auto" w:fill="auto"/>
            <w:vAlign w:val="center"/>
          </w:tcPr>
          <w:p w14:paraId="208F8905">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24E5F648">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39490AB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工业 *</w:t>
            </w:r>
          </w:p>
        </w:tc>
        <w:tc>
          <w:tcPr>
            <w:tcW w:w="1369" w:type="dxa"/>
            <w:tcBorders>
              <w:top w:val="nil"/>
              <w:left w:val="nil"/>
              <w:bottom w:val="nil"/>
              <w:right w:val="single" w:color="auto" w:sz="4" w:space="0"/>
            </w:tcBorders>
            <w:shd w:val="clear" w:color="auto" w:fill="auto"/>
            <w:vAlign w:val="center"/>
          </w:tcPr>
          <w:p w14:paraId="1B4C0825">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0916A4D5">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24D005C4">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51564B5E">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55381D1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0D86D27C">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1E4F1ACB">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7962E76">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64B8CF3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16284C1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CA6743F">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3F07933B">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2000≤Y＜40000</w:t>
            </w:r>
          </w:p>
        </w:tc>
        <w:tc>
          <w:tcPr>
            <w:tcW w:w="1426" w:type="dxa"/>
            <w:tcBorders>
              <w:top w:val="nil"/>
              <w:left w:val="nil"/>
              <w:bottom w:val="single" w:color="auto" w:sz="4" w:space="0"/>
              <w:right w:val="single" w:color="auto" w:sz="4" w:space="0"/>
            </w:tcBorders>
            <w:shd w:val="clear" w:color="auto" w:fill="auto"/>
            <w:vAlign w:val="center"/>
          </w:tcPr>
          <w:p w14:paraId="0A58A74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300≤Y＜2000</w:t>
            </w:r>
          </w:p>
        </w:tc>
        <w:tc>
          <w:tcPr>
            <w:tcW w:w="992" w:type="dxa"/>
            <w:tcBorders>
              <w:top w:val="nil"/>
              <w:left w:val="nil"/>
              <w:bottom w:val="single" w:color="auto" w:sz="4" w:space="0"/>
              <w:right w:val="nil"/>
            </w:tcBorders>
            <w:shd w:val="clear" w:color="auto" w:fill="auto"/>
            <w:vAlign w:val="center"/>
          </w:tcPr>
          <w:p w14:paraId="3FD6D649">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38AE7D0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68A8B89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建筑业</w:t>
            </w:r>
          </w:p>
        </w:tc>
        <w:tc>
          <w:tcPr>
            <w:tcW w:w="1369" w:type="dxa"/>
            <w:tcBorders>
              <w:top w:val="nil"/>
              <w:left w:val="nil"/>
              <w:bottom w:val="nil"/>
              <w:right w:val="single" w:color="auto" w:sz="4" w:space="0"/>
            </w:tcBorders>
            <w:shd w:val="clear" w:color="auto" w:fill="auto"/>
            <w:vAlign w:val="center"/>
          </w:tcPr>
          <w:p w14:paraId="25B266CB">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628E0D0F">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14:paraId="3A06BB68">
            <w:pPr>
              <w:widowControl/>
              <w:jc w:val="center"/>
              <w:rPr>
                <w:rFonts w:ascii="宋体" w:hAnsi="宋体" w:cs="宋体"/>
                <w:color w:val="000000"/>
                <w:kern w:val="0"/>
                <w:sz w:val="18"/>
                <w:szCs w:val="18"/>
              </w:rPr>
            </w:pPr>
            <w:r>
              <w:rPr>
                <w:rFonts w:hint="eastAsia" w:ascii="宋体" w:hAnsi="宋体" w:cs="宋体"/>
                <w:color w:val="000000"/>
                <w:kern w:val="0"/>
                <w:sz w:val="18"/>
                <w:szCs w:val="18"/>
              </w:rPr>
              <w:t>Y≥80000</w:t>
            </w:r>
          </w:p>
        </w:tc>
        <w:tc>
          <w:tcPr>
            <w:tcW w:w="1701" w:type="dxa"/>
            <w:tcBorders>
              <w:top w:val="nil"/>
              <w:left w:val="nil"/>
              <w:bottom w:val="nil"/>
              <w:right w:val="single" w:color="auto" w:sz="4" w:space="0"/>
            </w:tcBorders>
            <w:shd w:val="clear" w:color="auto" w:fill="auto"/>
            <w:vAlign w:val="center"/>
          </w:tcPr>
          <w:p w14:paraId="28017E05">
            <w:pPr>
              <w:widowControl/>
              <w:jc w:val="center"/>
              <w:rPr>
                <w:rFonts w:ascii="宋体" w:hAnsi="宋体" w:cs="宋体"/>
                <w:color w:val="000000"/>
                <w:kern w:val="0"/>
                <w:sz w:val="18"/>
                <w:szCs w:val="18"/>
              </w:rPr>
            </w:pPr>
            <w:r>
              <w:rPr>
                <w:rFonts w:hint="eastAsia" w:ascii="宋体" w:hAnsi="宋体" w:cs="宋体"/>
                <w:color w:val="000000"/>
                <w:kern w:val="0"/>
                <w:sz w:val="18"/>
                <w:szCs w:val="18"/>
              </w:rPr>
              <w:t>6000≤Y＜80000</w:t>
            </w:r>
          </w:p>
        </w:tc>
        <w:tc>
          <w:tcPr>
            <w:tcW w:w="1426" w:type="dxa"/>
            <w:tcBorders>
              <w:top w:val="nil"/>
              <w:left w:val="nil"/>
              <w:bottom w:val="nil"/>
              <w:right w:val="single" w:color="auto" w:sz="4" w:space="0"/>
            </w:tcBorders>
            <w:shd w:val="clear" w:color="auto" w:fill="auto"/>
            <w:vAlign w:val="center"/>
          </w:tcPr>
          <w:p w14:paraId="1A8143C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300≤Y＜6000</w:t>
            </w:r>
          </w:p>
        </w:tc>
        <w:tc>
          <w:tcPr>
            <w:tcW w:w="992" w:type="dxa"/>
            <w:tcBorders>
              <w:top w:val="nil"/>
              <w:left w:val="nil"/>
              <w:bottom w:val="nil"/>
              <w:right w:val="nil"/>
            </w:tcBorders>
            <w:shd w:val="clear" w:color="auto" w:fill="auto"/>
            <w:vAlign w:val="center"/>
          </w:tcPr>
          <w:p w14:paraId="6046EADF">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21F5D5B4">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BD69089">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7F50B604">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75B84AF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7DDFB975">
            <w:pPr>
              <w:widowControl/>
              <w:jc w:val="center"/>
              <w:rPr>
                <w:rFonts w:ascii="宋体" w:hAnsi="宋体" w:cs="宋体"/>
                <w:color w:val="000000"/>
                <w:kern w:val="0"/>
                <w:sz w:val="18"/>
                <w:szCs w:val="18"/>
              </w:rPr>
            </w:pPr>
            <w:r>
              <w:rPr>
                <w:rFonts w:hint="eastAsia" w:ascii="宋体" w:hAnsi="宋体" w:cs="宋体"/>
                <w:color w:val="000000"/>
                <w:kern w:val="0"/>
                <w:sz w:val="18"/>
                <w:szCs w:val="18"/>
              </w:rPr>
              <w:t>Z≥80000</w:t>
            </w:r>
          </w:p>
        </w:tc>
        <w:tc>
          <w:tcPr>
            <w:tcW w:w="1701" w:type="dxa"/>
            <w:tcBorders>
              <w:top w:val="nil"/>
              <w:left w:val="nil"/>
              <w:bottom w:val="single" w:color="auto" w:sz="4" w:space="0"/>
              <w:right w:val="single" w:color="auto" w:sz="4" w:space="0"/>
            </w:tcBorders>
            <w:shd w:val="clear" w:color="auto" w:fill="auto"/>
            <w:vAlign w:val="center"/>
          </w:tcPr>
          <w:p w14:paraId="7A6FBCC7">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5000≤Z＜80000</w:t>
            </w:r>
          </w:p>
        </w:tc>
        <w:tc>
          <w:tcPr>
            <w:tcW w:w="1426" w:type="dxa"/>
            <w:tcBorders>
              <w:top w:val="nil"/>
              <w:left w:val="nil"/>
              <w:bottom w:val="single" w:color="auto" w:sz="4" w:space="0"/>
              <w:right w:val="single" w:color="auto" w:sz="4" w:space="0"/>
            </w:tcBorders>
            <w:shd w:val="clear" w:color="auto" w:fill="auto"/>
            <w:vAlign w:val="center"/>
          </w:tcPr>
          <w:p w14:paraId="6F0446A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300≤Z＜5000</w:t>
            </w:r>
          </w:p>
        </w:tc>
        <w:tc>
          <w:tcPr>
            <w:tcW w:w="992" w:type="dxa"/>
            <w:tcBorders>
              <w:top w:val="nil"/>
              <w:left w:val="nil"/>
              <w:bottom w:val="single" w:color="auto" w:sz="4" w:space="0"/>
              <w:right w:val="nil"/>
            </w:tcBorders>
            <w:shd w:val="clear" w:color="auto" w:fill="auto"/>
            <w:vAlign w:val="center"/>
          </w:tcPr>
          <w:p w14:paraId="0EA6A9FE">
            <w:pPr>
              <w:widowControl/>
              <w:jc w:val="center"/>
              <w:rPr>
                <w:rFonts w:ascii="宋体" w:hAnsi="宋体" w:cs="宋体"/>
                <w:color w:val="000000"/>
                <w:kern w:val="0"/>
                <w:sz w:val="18"/>
                <w:szCs w:val="18"/>
              </w:rPr>
            </w:pPr>
            <w:r>
              <w:rPr>
                <w:rFonts w:hint="eastAsia" w:ascii="宋体" w:hAnsi="宋体" w:cs="宋体"/>
                <w:color w:val="000000"/>
                <w:kern w:val="0"/>
                <w:sz w:val="18"/>
                <w:szCs w:val="18"/>
              </w:rPr>
              <w:t>Z＜300</w:t>
            </w:r>
          </w:p>
        </w:tc>
      </w:tr>
      <w:tr w14:paraId="20964C68">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DCE4C2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批发业</w:t>
            </w:r>
          </w:p>
        </w:tc>
        <w:tc>
          <w:tcPr>
            <w:tcW w:w="1369" w:type="dxa"/>
            <w:tcBorders>
              <w:top w:val="nil"/>
              <w:left w:val="nil"/>
              <w:bottom w:val="nil"/>
              <w:right w:val="single" w:color="auto" w:sz="4" w:space="0"/>
            </w:tcBorders>
            <w:shd w:val="clear" w:color="auto" w:fill="auto"/>
            <w:vAlign w:val="center"/>
          </w:tcPr>
          <w:p w14:paraId="226ED6F3">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3121ABF6">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34EBABBA">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14:paraId="46E38E17">
            <w:pPr>
              <w:widowControl/>
              <w:jc w:val="center"/>
              <w:rPr>
                <w:rFonts w:ascii="宋体" w:hAnsi="宋体" w:cs="宋体"/>
                <w:color w:val="000000"/>
                <w:kern w:val="0"/>
                <w:sz w:val="18"/>
                <w:szCs w:val="18"/>
              </w:rPr>
            </w:pPr>
            <w:r>
              <w:rPr>
                <w:rFonts w:hint="eastAsia" w:ascii="宋体" w:hAnsi="宋体" w:cs="宋体"/>
                <w:color w:val="000000"/>
                <w:kern w:val="0"/>
                <w:sz w:val="18"/>
                <w:szCs w:val="18"/>
              </w:rPr>
              <w:t>20≤X＜200</w:t>
            </w:r>
          </w:p>
        </w:tc>
        <w:tc>
          <w:tcPr>
            <w:tcW w:w="1426" w:type="dxa"/>
            <w:tcBorders>
              <w:top w:val="nil"/>
              <w:left w:val="nil"/>
              <w:bottom w:val="nil"/>
              <w:right w:val="single" w:color="auto" w:sz="4" w:space="0"/>
            </w:tcBorders>
            <w:shd w:val="clear" w:color="auto" w:fill="auto"/>
            <w:vAlign w:val="center"/>
          </w:tcPr>
          <w:p w14:paraId="3089D28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5≤X＜20</w:t>
            </w:r>
          </w:p>
        </w:tc>
        <w:tc>
          <w:tcPr>
            <w:tcW w:w="992" w:type="dxa"/>
            <w:tcBorders>
              <w:top w:val="nil"/>
              <w:left w:val="nil"/>
              <w:bottom w:val="nil"/>
              <w:right w:val="nil"/>
            </w:tcBorders>
            <w:shd w:val="clear" w:color="auto" w:fill="auto"/>
            <w:vAlign w:val="center"/>
          </w:tcPr>
          <w:p w14:paraId="44088226">
            <w:pPr>
              <w:widowControl/>
              <w:jc w:val="center"/>
              <w:rPr>
                <w:rFonts w:ascii="宋体" w:hAnsi="宋体" w:cs="宋体"/>
                <w:color w:val="000000"/>
                <w:kern w:val="0"/>
                <w:sz w:val="18"/>
                <w:szCs w:val="18"/>
              </w:rPr>
            </w:pPr>
            <w:r>
              <w:rPr>
                <w:rFonts w:hint="eastAsia" w:ascii="宋体" w:hAnsi="宋体" w:cs="宋体"/>
                <w:color w:val="000000"/>
                <w:kern w:val="0"/>
                <w:sz w:val="18"/>
                <w:szCs w:val="18"/>
              </w:rPr>
              <w:t>X＜5</w:t>
            </w:r>
          </w:p>
        </w:tc>
      </w:tr>
      <w:tr w14:paraId="163D1F04">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2E58BF3">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3B25E6C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9D885C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55D2790">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tcBorders>
              <w:top w:val="nil"/>
              <w:left w:val="nil"/>
              <w:bottom w:val="single" w:color="auto" w:sz="4" w:space="0"/>
              <w:right w:val="single" w:color="auto" w:sz="4" w:space="0"/>
            </w:tcBorders>
            <w:shd w:val="clear" w:color="auto" w:fill="auto"/>
            <w:vAlign w:val="center"/>
          </w:tcPr>
          <w:p w14:paraId="479DABD8">
            <w:pPr>
              <w:widowControl/>
              <w:jc w:val="center"/>
              <w:rPr>
                <w:rFonts w:ascii="宋体" w:hAnsi="宋体" w:cs="宋体"/>
                <w:color w:val="000000"/>
                <w:kern w:val="0"/>
                <w:sz w:val="18"/>
                <w:szCs w:val="18"/>
              </w:rPr>
            </w:pPr>
            <w:r>
              <w:rPr>
                <w:rFonts w:hint="eastAsia" w:ascii="宋体" w:hAnsi="宋体" w:cs="宋体"/>
                <w:color w:val="000000"/>
                <w:kern w:val="0"/>
                <w:sz w:val="18"/>
                <w:szCs w:val="18"/>
              </w:rPr>
              <w:t>5000≤Y＜40000</w:t>
            </w:r>
          </w:p>
        </w:tc>
        <w:tc>
          <w:tcPr>
            <w:tcW w:w="1426" w:type="dxa"/>
            <w:tcBorders>
              <w:top w:val="nil"/>
              <w:left w:val="nil"/>
              <w:bottom w:val="single" w:color="auto" w:sz="4" w:space="0"/>
              <w:right w:val="single" w:color="auto" w:sz="4" w:space="0"/>
            </w:tcBorders>
            <w:shd w:val="clear" w:color="auto" w:fill="auto"/>
            <w:vAlign w:val="center"/>
          </w:tcPr>
          <w:p w14:paraId="29A0CDA4">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992" w:type="dxa"/>
            <w:tcBorders>
              <w:top w:val="nil"/>
              <w:left w:val="nil"/>
              <w:bottom w:val="single" w:color="auto" w:sz="4" w:space="0"/>
              <w:right w:val="nil"/>
            </w:tcBorders>
            <w:shd w:val="clear" w:color="auto" w:fill="auto"/>
            <w:vAlign w:val="center"/>
          </w:tcPr>
          <w:p w14:paraId="03FC70E5">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w:t>
            </w:r>
          </w:p>
        </w:tc>
      </w:tr>
      <w:tr w14:paraId="4EBC35A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5F673CE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零售业</w:t>
            </w:r>
          </w:p>
        </w:tc>
        <w:tc>
          <w:tcPr>
            <w:tcW w:w="1369" w:type="dxa"/>
            <w:tcBorders>
              <w:top w:val="nil"/>
              <w:left w:val="nil"/>
              <w:bottom w:val="nil"/>
              <w:right w:val="single" w:color="auto" w:sz="4" w:space="0"/>
            </w:tcBorders>
            <w:shd w:val="clear" w:color="auto" w:fill="auto"/>
            <w:vAlign w:val="center"/>
          </w:tcPr>
          <w:p w14:paraId="2390A39D">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5EBA5D2E">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499A9306">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389C0326">
            <w:pPr>
              <w:widowControl/>
              <w:jc w:val="center"/>
              <w:rPr>
                <w:rFonts w:ascii="宋体" w:hAnsi="宋体" w:cs="宋体"/>
                <w:color w:val="000000"/>
                <w:kern w:val="0"/>
                <w:sz w:val="18"/>
                <w:szCs w:val="18"/>
              </w:rPr>
            </w:pPr>
            <w:r>
              <w:rPr>
                <w:rFonts w:hint="eastAsia" w:ascii="宋体" w:hAnsi="宋体" w:cs="宋体"/>
                <w:color w:val="000000"/>
                <w:kern w:val="0"/>
                <w:sz w:val="18"/>
                <w:szCs w:val="18"/>
              </w:rPr>
              <w:t>50≤X＜300</w:t>
            </w:r>
          </w:p>
        </w:tc>
        <w:tc>
          <w:tcPr>
            <w:tcW w:w="1426" w:type="dxa"/>
            <w:tcBorders>
              <w:top w:val="nil"/>
              <w:left w:val="nil"/>
              <w:bottom w:val="nil"/>
              <w:right w:val="single" w:color="auto" w:sz="4" w:space="0"/>
            </w:tcBorders>
            <w:shd w:val="clear" w:color="auto" w:fill="auto"/>
            <w:vAlign w:val="center"/>
          </w:tcPr>
          <w:p w14:paraId="0136E008">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10≤X＜50 </w:t>
            </w:r>
          </w:p>
        </w:tc>
        <w:tc>
          <w:tcPr>
            <w:tcW w:w="992" w:type="dxa"/>
            <w:tcBorders>
              <w:top w:val="nil"/>
              <w:left w:val="nil"/>
              <w:bottom w:val="nil"/>
              <w:right w:val="nil"/>
            </w:tcBorders>
            <w:shd w:val="clear" w:color="auto" w:fill="auto"/>
            <w:vAlign w:val="center"/>
          </w:tcPr>
          <w:p w14:paraId="0E102D31">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031A64CC">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F3000D6">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3EC9EE4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4050CF7F">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A6730EA">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tcBorders>
              <w:top w:val="nil"/>
              <w:left w:val="nil"/>
              <w:bottom w:val="single" w:color="auto" w:sz="4" w:space="0"/>
              <w:right w:val="single" w:color="auto" w:sz="4" w:space="0"/>
            </w:tcBorders>
            <w:shd w:val="clear" w:color="auto" w:fill="auto"/>
            <w:vAlign w:val="center"/>
          </w:tcPr>
          <w:p w14:paraId="24E8EA85">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tcBorders>
              <w:top w:val="nil"/>
              <w:left w:val="nil"/>
              <w:bottom w:val="single" w:color="auto" w:sz="4" w:space="0"/>
              <w:right w:val="single" w:color="auto" w:sz="4" w:space="0"/>
            </w:tcBorders>
            <w:shd w:val="clear" w:color="auto" w:fill="auto"/>
            <w:vAlign w:val="center"/>
          </w:tcPr>
          <w:p w14:paraId="1DAACCB4">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100≤Y＜500 </w:t>
            </w:r>
          </w:p>
        </w:tc>
        <w:tc>
          <w:tcPr>
            <w:tcW w:w="992" w:type="dxa"/>
            <w:tcBorders>
              <w:top w:val="nil"/>
              <w:left w:val="nil"/>
              <w:bottom w:val="single" w:color="auto" w:sz="4" w:space="0"/>
              <w:right w:val="nil"/>
            </w:tcBorders>
            <w:shd w:val="clear" w:color="auto" w:fill="auto"/>
            <w:vAlign w:val="center"/>
          </w:tcPr>
          <w:p w14:paraId="59A9F604">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726AC7A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2EFB742A">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交通运输业 *</w:t>
            </w:r>
          </w:p>
        </w:tc>
        <w:tc>
          <w:tcPr>
            <w:tcW w:w="1369" w:type="dxa"/>
            <w:tcBorders>
              <w:top w:val="nil"/>
              <w:left w:val="nil"/>
              <w:bottom w:val="nil"/>
              <w:right w:val="single" w:color="auto" w:sz="4" w:space="0"/>
            </w:tcBorders>
            <w:shd w:val="clear" w:color="auto" w:fill="auto"/>
            <w:vAlign w:val="center"/>
          </w:tcPr>
          <w:p w14:paraId="573C46C1">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0EE4A1D7">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62FF6FC3">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255F350C">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3B338F4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7E76D81B">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6FA96E90">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5FF5C389">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7CB42C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1D862C86">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58E3B467">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6F2535A1">
            <w:pPr>
              <w:widowControl/>
              <w:jc w:val="center"/>
              <w:rPr>
                <w:rFonts w:ascii="宋体" w:hAnsi="宋体" w:cs="宋体"/>
                <w:color w:val="000000"/>
                <w:kern w:val="0"/>
                <w:sz w:val="18"/>
                <w:szCs w:val="18"/>
              </w:rPr>
            </w:pPr>
            <w:r>
              <w:rPr>
                <w:rFonts w:hint="eastAsia" w:ascii="宋体" w:hAnsi="宋体" w:cs="宋体"/>
                <w:color w:val="000000"/>
                <w:kern w:val="0"/>
                <w:sz w:val="18"/>
                <w:szCs w:val="18"/>
              </w:rPr>
              <w:t>3000≤Y＜30000</w:t>
            </w:r>
          </w:p>
        </w:tc>
        <w:tc>
          <w:tcPr>
            <w:tcW w:w="1426" w:type="dxa"/>
            <w:tcBorders>
              <w:top w:val="nil"/>
              <w:left w:val="nil"/>
              <w:bottom w:val="single" w:color="auto" w:sz="4" w:space="0"/>
              <w:right w:val="single" w:color="auto" w:sz="4" w:space="0"/>
            </w:tcBorders>
            <w:shd w:val="clear" w:color="auto" w:fill="auto"/>
            <w:vAlign w:val="center"/>
          </w:tcPr>
          <w:p w14:paraId="2FC2E06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200≤Y＜3000</w:t>
            </w:r>
          </w:p>
        </w:tc>
        <w:tc>
          <w:tcPr>
            <w:tcW w:w="992" w:type="dxa"/>
            <w:tcBorders>
              <w:top w:val="nil"/>
              <w:left w:val="nil"/>
              <w:bottom w:val="single" w:color="auto" w:sz="4" w:space="0"/>
              <w:right w:val="nil"/>
            </w:tcBorders>
            <w:shd w:val="clear" w:color="auto" w:fill="auto"/>
            <w:vAlign w:val="center"/>
          </w:tcPr>
          <w:p w14:paraId="317FE322">
            <w:pPr>
              <w:widowControl/>
              <w:jc w:val="center"/>
              <w:rPr>
                <w:rFonts w:ascii="宋体" w:hAnsi="宋体" w:cs="宋体"/>
                <w:color w:val="000000"/>
                <w:kern w:val="0"/>
                <w:sz w:val="18"/>
                <w:szCs w:val="18"/>
              </w:rPr>
            </w:pPr>
            <w:r>
              <w:rPr>
                <w:rFonts w:hint="eastAsia" w:ascii="宋体" w:hAnsi="宋体" w:cs="宋体"/>
                <w:color w:val="000000"/>
                <w:kern w:val="0"/>
                <w:sz w:val="18"/>
                <w:szCs w:val="18"/>
              </w:rPr>
              <w:t>Y＜200</w:t>
            </w:r>
          </w:p>
        </w:tc>
      </w:tr>
      <w:tr w14:paraId="75322352">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6531528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仓储业*</w:t>
            </w:r>
          </w:p>
        </w:tc>
        <w:tc>
          <w:tcPr>
            <w:tcW w:w="1369" w:type="dxa"/>
            <w:tcBorders>
              <w:top w:val="nil"/>
              <w:left w:val="nil"/>
              <w:bottom w:val="nil"/>
              <w:right w:val="single" w:color="auto" w:sz="4" w:space="0"/>
            </w:tcBorders>
            <w:shd w:val="clear" w:color="auto" w:fill="auto"/>
            <w:vAlign w:val="center"/>
          </w:tcPr>
          <w:p w14:paraId="73A6D43F">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3434383B">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580B1797">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tcBorders>
              <w:top w:val="nil"/>
              <w:left w:val="nil"/>
              <w:bottom w:val="nil"/>
              <w:right w:val="single" w:color="auto" w:sz="4" w:space="0"/>
            </w:tcBorders>
            <w:shd w:val="clear" w:color="auto" w:fill="auto"/>
            <w:vAlign w:val="center"/>
          </w:tcPr>
          <w:p w14:paraId="63BE5F7C">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100≤X＜200</w:t>
            </w:r>
          </w:p>
        </w:tc>
        <w:tc>
          <w:tcPr>
            <w:tcW w:w="1426" w:type="dxa"/>
            <w:tcBorders>
              <w:top w:val="nil"/>
              <w:left w:val="nil"/>
              <w:bottom w:val="nil"/>
              <w:right w:val="single" w:color="auto" w:sz="4" w:space="0"/>
            </w:tcBorders>
            <w:shd w:val="clear" w:color="auto" w:fill="auto"/>
            <w:vAlign w:val="center"/>
          </w:tcPr>
          <w:p w14:paraId="0EB1E33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20≤X＜100</w:t>
            </w:r>
          </w:p>
        </w:tc>
        <w:tc>
          <w:tcPr>
            <w:tcW w:w="992" w:type="dxa"/>
            <w:tcBorders>
              <w:top w:val="nil"/>
              <w:left w:val="nil"/>
              <w:bottom w:val="nil"/>
              <w:right w:val="nil"/>
            </w:tcBorders>
            <w:shd w:val="clear" w:color="auto" w:fill="auto"/>
            <w:vAlign w:val="center"/>
          </w:tcPr>
          <w:p w14:paraId="74A56C6A">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41758981">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D09F787">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459CA0EC">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1C406FC9">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250516D5">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1C6B020D">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1000≤Y＜30000</w:t>
            </w:r>
          </w:p>
        </w:tc>
        <w:tc>
          <w:tcPr>
            <w:tcW w:w="1426" w:type="dxa"/>
            <w:tcBorders>
              <w:top w:val="nil"/>
              <w:left w:val="nil"/>
              <w:bottom w:val="single" w:color="auto" w:sz="4" w:space="0"/>
              <w:right w:val="single" w:color="auto" w:sz="4" w:space="0"/>
            </w:tcBorders>
            <w:shd w:val="clear" w:color="auto" w:fill="auto"/>
            <w:vAlign w:val="center"/>
          </w:tcPr>
          <w:p w14:paraId="6844FCE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3111A581">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54759288">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DC402BF">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邮政业</w:t>
            </w:r>
          </w:p>
        </w:tc>
        <w:tc>
          <w:tcPr>
            <w:tcW w:w="1369" w:type="dxa"/>
            <w:tcBorders>
              <w:top w:val="nil"/>
              <w:left w:val="nil"/>
              <w:bottom w:val="nil"/>
              <w:right w:val="single" w:color="auto" w:sz="4" w:space="0"/>
            </w:tcBorders>
            <w:shd w:val="clear" w:color="auto" w:fill="auto"/>
            <w:vAlign w:val="center"/>
          </w:tcPr>
          <w:p w14:paraId="381C5481">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A0092DC">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2E1BC099">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37997E0B">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5C2AA8F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tcBorders>
              <w:top w:val="nil"/>
              <w:left w:val="nil"/>
              <w:bottom w:val="nil"/>
              <w:right w:val="nil"/>
            </w:tcBorders>
            <w:shd w:val="clear" w:color="auto" w:fill="auto"/>
            <w:vAlign w:val="center"/>
          </w:tcPr>
          <w:p w14:paraId="6490CA74">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0F2075DF">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3EADB0D">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AB4E37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246F2660">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D4058D9">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tcBorders>
              <w:top w:val="nil"/>
              <w:left w:val="nil"/>
              <w:bottom w:val="single" w:color="auto" w:sz="4" w:space="0"/>
              <w:right w:val="single" w:color="auto" w:sz="4" w:space="0"/>
            </w:tcBorders>
            <w:shd w:val="clear" w:color="auto" w:fill="auto"/>
            <w:vAlign w:val="center"/>
          </w:tcPr>
          <w:p w14:paraId="6B20E894">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2000≤Y＜30000</w:t>
            </w:r>
          </w:p>
        </w:tc>
        <w:tc>
          <w:tcPr>
            <w:tcW w:w="1426" w:type="dxa"/>
            <w:tcBorders>
              <w:top w:val="nil"/>
              <w:left w:val="nil"/>
              <w:bottom w:val="single" w:color="auto" w:sz="4" w:space="0"/>
              <w:right w:val="single" w:color="auto" w:sz="4" w:space="0"/>
            </w:tcBorders>
            <w:shd w:val="clear" w:color="auto" w:fill="auto"/>
            <w:vAlign w:val="center"/>
          </w:tcPr>
          <w:p w14:paraId="5C2601C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3217DD64">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597DFC73">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419ED07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住宿业</w:t>
            </w:r>
          </w:p>
        </w:tc>
        <w:tc>
          <w:tcPr>
            <w:tcW w:w="1369" w:type="dxa"/>
            <w:tcBorders>
              <w:top w:val="nil"/>
              <w:left w:val="nil"/>
              <w:bottom w:val="nil"/>
              <w:right w:val="single" w:color="auto" w:sz="4" w:space="0"/>
            </w:tcBorders>
            <w:shd w:val="clear" w:color="auto" w:fill="auto"/>
            <w:vAlign w:val="center"/>
          </w:tcPr>
          <w:p w14:paraId="7492A885">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0C6E422A">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72D8F163">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7BF4003B">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1CD695F4">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3487DB05">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613A5A5D">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CCFF4E1">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25FC30C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3935C8D5">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312CCCA9">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239E5B87">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0098A5C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7431CDA4">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37D26D1D">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6DBA937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餐饮业</w:t>
            </w:r>
          </w:p>
        </w:tc>
        <w:tc>
          <w:tcPr>
            <w:tcW w:w="1369" w:type="dxa"/>
            <w:tcBorders>
              <w:top w:val="nil"/>
              <w:left w:val="nil"/>
              <w:bottom w:val="nil"/>
              <w:right w:val="single" w:color="auto" w:sz="4" w:space="0"/>
            </w:tcBorders>
            <w:shd w:val="clear" w:color="auto" w:fill="auto"/>
            <w:vAlign w:val="center"/>
          </w:tcPr>
          <w:p w14:paraId="06027F5B">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3EF23F35">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28E7F552">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7E7A5412">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78AB453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4132CC60">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711CE0BA">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AE0573D">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33C6D501">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20595CF2">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40EF4FC">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0227C5D0">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tcBorders>
              <w:top w:val="nil"/>
              <w:left w:val="nil"/>
              <w:bottom w:val="single" w:color="auto" w:sz="4" w:space="0"/>
              <w:right w:val="single" w:color="auto" w:sz="4" w:space="0"/>
            </w:tcBorders>
            <w:shd w:val="clear" w:color="auto" w:fill="auto"/>
            <w:vAlign w:val="center"/>
          </w:tcPr>
          <w:p w14:paraId="358ADD1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tcBorders>
              <w:top w:val="nil"/>
              <w:left w:val="nil"/>
              <w:bottom w:val="single" w:color="auto" w:sz="4" w:space="0"/>
              <w:right w:val="nil"/>
            </w:tcBorders>
            <w:shd w:val="clear" w:color="auto" w:fill="auto"/>
            <w:vAlign w:val="center"/>
          </w:tcPr>
          <w:p w14:paraId="3EF48231">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3A4A01C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7C2297A0">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信息传输业 *</w:t>
            </w:r>
          </w:p>
        </w:tc>
        <w:tc>
          <w:tcPr>
            <w:tcW w:w="1369" w:type="dxa"/>
            <w:tcBorders>
              <w:top w:val="nil"/>
              <w:left w:val="nil"/>
              <w:bottom w:val="nil"/>
              <w:right w:val="single" w:color="auto" w:sz="4" w:space="0"/>
            </w:tcBorders>
            <w:shd w:val="clear" w:color="auto" w:fill="auto"/>
            <w:vAlign w:val="center"/>
          </w:tcPr>
          <w:p w14:paraId="6C878A90">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3C60E20B">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6909ED90">
            <w:pPr>
              <w:widowControl/>
              <w:jc w:val="center"/>
              <w:rPr>
                <w:rFonts w:ascii="宋体" w:hAnsi="宋体" w:cs="宋体"/>
                <w:color w:val="000000"/>
                <w:kern w:val="0"/>
                <w:sz w:val="18"/>
                <w:szCs w:val="18"/>
              </w:rPr>
            </w:pPr>
            <w:r>
              <w:rPr>
                <w:rFonts w:hint="eastAsia" w:ascii="宋体" w:hAnsi="宋体" w:cs="宋体"/>
                <w:color w:val="000000"/>
                <w:kern w:val="0"/>
                <w:sz w:val="18"/>
                <w:szCs w:val="18"/>
              </w:rPr>
              <w:t>X≥2000</w:t>
            </w:r>
          </w:p>
        </w:tc>
        <w:tc>
          <w:tcPr>
            <w:tcW w:w="1701" w:type="dxa"/>
            <w:tcBorders>
              <w:top w:val="nil"/>
              <w:left w:val="nil"/>
              <w:bottom w:val="nil"/>
              <w:right w:val="single" w:color="auto" w:sz="4" w:space="0"/>
            </w:tcBorders>
            <w:shd w:val="clear" w:color="auto" w:fill="auto"/>
            <w:vAlign w:val="center"/>
          </w:tcPr>
          <w:p w14:paraId="5E1F717A">
            <w:pPr>
              <w:widowControl/>
              <w:jc w:val="center"/>
              <w:rPr>
                <w:rFonts w:ascii="宋体" w:hAnsi="宋体" w:cs="宋体"/>
                <w:color w:val="000000"/>
                <w:kern w:val="0"/>
                <w:sz w:val="18"/>
                <w:szCs w:val="18"/>
              </w:rPr>
            </w:pPr>
            <w:r>
              <w:rPr>
                <w:rFonts w:hint="eastAsia" w:ascii="宋体" w:hAnsi="宋体" w:cs="宋体"/>
                <w:color w:val="000000"/>
                <w:kern w:val="0"/>
                <w:sz w:val="18"/>
                <w:szCs w:val="18"/>
              </w:rPr>
              <w:t>100≤X＜2000</w:t>
            </w:r>
          </w:p>
        </w:tc>
        <w:tc>
          <w:tcPr>
            <w:tcW w:w="1426" w:type="dxa"/>
            <w:tcBorders>
              <w:top w:val="nil"/>
              <w:left w:val="nil"/>
              <w:bottom w:val="nil"/>
              <w:right w:val="single" w:color="auto" w:sz="4" w:space="0"/>
            </w:tcBorders>
            <w:shd w:val="clear" w:color="auto" w:fill="auto"/>
            <w:vAlign w:val="center"/>
          </w:tcPr>
          <w:p w14:paraId="636CC08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3DBB9744">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706945BE">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B9AD63F">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0D6F437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028DD90C">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4EF261BC">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Y≥100000</w:t>
            </w:r>
          </w:p>
        </w:tc>
        <w:tc>
          <w:tcPr>
            <w:tcW w:w="1701" w:type="dxa"/>
            <w:tcBorders>
              <w:top w:val="nil"/>
              <w:left w:val="nil"/>
              <w:bottom w:val="single" w:color="auto" w:sz="4" w:space="0"/>
              <w:right w:val="single" w:color="auto" w:sz="4" w:space="0"/>
            </w:tcBorders>
            <w:shd w:val="clear" w:color="auto" w:fill="auto"/>
            <w:vAlign w:val="center"/>
          </w:tcPr>
          <w:p w14:paraId="7499EDA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1000≤Y＜100000</w:t>
            </w:r>
          </w:p>
        </w:tc>
        <w:tc>
          <w:tcPr>
            <w:tcW w:w="1426" w:type="dxa"/>
            <w:tcBorders>
              <w:top w:val="nil"/>
              <w:left w:val="nil"/>
              <w:bottom w:val="single" w:color="auto" w:sz="4" w:space="0"/>
              <w:right w:val="single" w:color="auto" w:sz="4" w:space="0"/>
            </w:tcBorders>
            <w:shd w:val="clear" w:color="auto" w:fill="auto"/>
            <w:vAlign w:val="center"/>
          </w:tcPr>
          <w:p w14:paraId="4911406B">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single" w:color="auto" w:sz="4" w:space="0"/>
              <w:right w:val="nil"/>
            </w:tcBorders>
            <w:shd w:val="clear" w:color="auto" w:fill="auto"/>
            <w:vAlign w:val="center"/>
          </w:tcPr>
          <w:p w14:paraId="6651CAF6">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57DE9B5D">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shd w:val="clear" w:color="auto" w:fill="auto"/>
            <w:vAlign w:val="center"/>
          </w:tcPr>
          <w:p w14:paraId="6A2C0F0F">
            <w:pPr>
              <w:widowControl/>
              <w:spacing w:line="240" w:lineRule="exact"/>
              <w:jc w:val="left"/>
              <w:rPr>
                <w:rFonts w:ascii="宋体" w:hAnsi="宋体" w:cs="宋体"/>
                <w:color w:val="000000"/>
                <w:spacing w:val="-12"/>
                <w:kern w:val="0"/>
                <w:sz w:val="18"/>
                <w:szCs w:val="18"/>
              </w:rPr>
            </w:pPr>
            <w:r>
              <w:rPr>
                <w:rFonts w:hint="eastAsia" w:ascii="宋体" w:hAnsi="宋体" w:cs="宋体"/>
                <w:color w:val="000000"/>
                <w:spacing w:val="-12"/>
                <w:kern w:val="0"/>
                <w:sz w:val="18"/>
                <w:szCs w:val="18"/>
              </w:rPr>
              <w:t>软件和信息技术服</w:t>
            </w:r>
            <w:r>
              <w:rPr>
                <w:rFonts w:hint="eastAsia" w:ascii="宋体" w:hAnsi="宋体" w:cs="宋体"/>
                <w:color w:val="000000"/>
                <w:kern w:val="0"/>
                <w:sz w:val="18"/>
                <w:szCs w:val="18"/>
              </w:rPr>
              <w:t>务业</w:t>
            </w:r>
          </w:p>
        </w:tc>
        <w:tc>
          <w:tcPr>
            <w:tcW w:w="1369" w:type="dxa"/>
            <w:tcBorders>
              <w:top w:val="nil"/>
              <w:left w:val="nil"/>
              <w:bottom w:val="nil"/>
              <w:right w:val="single" w:color="auto" w:sz="4" w:space="0"/>
            </w:tcBorders>
            <w:shd w:val="clear" w:color="auto" w:fill="auto"/>
            <w:vAlign w:val="center"/>
          </w:tcPr>
          <w:p w14:paraId="384DD06F">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E3E5560">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5F1F31E1">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79649D89">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63AE060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3049C48D">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5D868EA3">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14:paraId="3AA56377">
            <w:pPr>
              <w:widowControl/>
              <w:jc w:val="left"/>
              <w:rPr>
                <w:rFonts w:ascii="宋体" w:hAnsi="宋体" w:cs="宋体"/>
                <w:color w:val="000000"/>
                <w:spacing w:val="-12"/>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362BA865">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6C1DAD6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68185529">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tcBorders>
              <w:top w:val="nil"/>
              <w:left w:val="nil"/>
              <w:bottom w:val="single" w:color="auto" w:sz="4" w:space="0"/>
              <w:right w:val="single" w:color="auto" w:sz="4" w:space="0"/>
            </w:tcBorders>
            <w:shd w:val="clear" w:color="auto" w:fill="auto"/>
            <w:vAlign w:val="center"/>
          </w:tcPr>
          <w:p w14:paraId="1A07E215">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1000≤Y＜10000</w:t>
            </w:r>
          </w:p>
        </w:tc>
        <w:tc>
          <w:tcPr>
            <w:tcW w:w="1426" w:type="dxa"/>
            <w:tcBorders>
              <w:top w:val="nil"/>
              <w:left w:val="nil"/>
              <w:bottom w:val="single" w:color="auto" w:sz="4" w:space="0"/>
              <w:right w:val="single" w:color="auto" w:sz="4" w:space="0"/>
            </w:tcBorders>
            <w:shd w:val="clear" w:color="auto" w:fill="auto"/>
            <w:vAlign w:val="center"/>
          </w:tcPr>
          <w:p w14:paraId="7E70CD6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50≤Y＜1000</w:t>
            </w:r>
          </w:p>
        </w:tc>
        <w:tc>
          <w:tcPr>
            <w:tcW w:w="992" w:type="dxa"/>
            <w:tcBorders>
              <w:top w:val="nil"/>
              <w:left w:val="nil"/>
              <w:bottom w:val="single" w:color="auto" w:sz="4" w:space="0"/>
              <w:right w:val="nil"/>
            </w:tcBorders>
            <w:shd w:val="clear" w:color="auto" w:fill="auto"/>
            <w:vAlign w:val="center"/>
          </w:tcPr>
          <w:p w14:paraId="01A0A91E">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00ECB915">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6B3D88A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房地产开发经营</w:t>
            </w:r>
          </w:p>
        </w:tc>
        <w:tc>
          <w:tcPr>
            <w:tcW w:w="1369" w:type="dxa"/>
            <w:tcBorders>
              <w:top w:val="nil"/>
              <w:left w:val="nil"/>
              <w:bottom w:val="nil"/>
              <w:right w:val="single" w:color="auto" w:sz="4" w:space="0"/>
            </w:tcBorders>
            <w:shd w:val="clear" w:color="auto" w:fill="auto"/>
            <w:vAlign w:val="center"/>
          </w:tcPr>
          <w:p w14:paraId="49956B32">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nil"/>
              <w:right w:val="single" w:color="auto" w:sz="4" w:space="0"/>
            </w:tcBorders>
            <w:shd w:val="clear" w:color="auto" w:fill="auto"/>
            <w:vAlign w:val="center"/>
          </w:tcPr>
          <w:p w14:paraId="1B539F94">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nil"/>
              <w:right w:val="single" w:color="auto" w:sz="4" w:space="0"/>
            </w:tcBorders>
            <w:shd w:val="clear" w:color="auto" w:fill="auto"/>
            <w:vAlign w:val="center"/>
          </w:tcPr>
          <w:p w14:paraId="12E18B8C">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Y≥200000</w:t>
            </w:r>
          </w:p>
        </w:tc>
        <w:tc>
          <w:tcPr>
            <w:tcW w:w="1701" w:type="dxa"/>
            <w:tcBorders>
              <w:top w:val="nil"/>
              <w:left w:val="nil"/>
              <w:bottom w:val="nil"/>
              <w:right w:val="single" w:color="auto" w:sz="4" w:space="0"/>
            </w:tcBorders>
            <w:shd w:val="clear" w:color="auto" w:fill="auto"/>
            <w:vAlign w:val="center"/>
          </w:tcPr>
          <w:p w14:paraId="23FB329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1000≤Y＜200000</w:t>
            </w:r>
          </w:p>
        </w:tc>
        <w:tc>
          <w:tcPr>
            <w:tcW w:w="1426" w:type="dxa"/>
            <w:tcBorders>
              <w:top w:val="nil"/>
              <w:left w:val="nil"/>
              <w:bottom w:val="nil"/>
              <w:right w:val="single" w:color="auto" w:sz="4" w:space="0"/>
            </w:tcBorders>
            <w:shd w:val="clear" w:color="auto" w:fill="auto"/>
            <w:vAlign w:val="center"/>
          </w:tcPr>
          <w:p w14:paraId="09C9411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tcBorders>
              <w:top w:val="nil"/>
              <w:left w:val="nil"/>
              <w:bottom w:val="nil"/>
              <w:right w:val="nil"/>
            </w:tcBorders>
            <w:shd w:val="clear" w:color="auto" w:fill="auto"/>
            <w:vAlign w:val="center"/>
          </w:tcPr>
          <w:p w14:paraId="1212AB90">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67A0307D">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24904D1A">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02432C50">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07D658C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12CABB07">
            <w:pPr>
              <w:widowControl/>
              <w:jc w:val="center"/>
              <w:rPr>
                <w:rFonts w:ascii="宋体" w:hAnsi="宋体" w:cs="宋体"/>
                <w:color w:val="000000"/>
                <w:kern w:val="0"/>
                <w:sz w:val="18"/>
                <w:szCs w:val="18"/>
              </w:rPr>
            </w:pPr>
            <w:r>
              <w:rPr>
                <w:rFonts w:hint="eastAsia" w:ascii="宋体" w:hAnsi="宋体" w:cs="宋体"/>
                <w:color w:val="000000"/>
                <w:kern w:val="0"/>
                <w:sz w:val="18"/>
                <w:szCs w:val="18"/>
              </w:rPr>
              <w:t>Z≥10000</w:t>
            </w:r>
          </w:p>
        </w:tc>
        <w:tc>
          <w:tcPr>
            <w:tcW w:w="1701" w:type="dxa"/>
            <w:tcBorders>
              <w:top w:val="nil"/>
              <w:left w:val="nil"/>
              <w:bottom w:val="single" w:color="auto" w:sz="4" w:space="0"/>
              <w:right w:val="single" w:color="auto" w:sz="4" w:space="0"/>
            </w:tcBorders>
            <w:shd w:val="clear" w:color="auto" w:fill="auto"/>
            <w:vAlign w:val="center"/>
          </w:tcPr>
          <w:p w14:paraId="5702E041">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5000≤Z＜10000</w:t>
            </w:r>
          </w:p>
        </w:tc>
        <w:tc>
          <w:tcPr>
            <w:tcW w:w="1426" w:type="dxa"/>
            <w:tcBorders>
              <w:top w:val="nil"/>
              <w:left w:val="nil"/>
              <w:bottom w:val="single" w:color="auto" w:sz="4" w:space="0"/>
              <w:right w:val="single" w:color="auto" w:sz="4" w:space="0"/>
            </w:tcBorders>
            <w:shd w:val="clear" w:color="auto" w:fill="auto"/>
            <w:vAlign w:val="center"/>
          </w:tcPr>
          <w:p w14:paraId="4A9684D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2000≤Z＜5000   </w:t>
            </w:r>
          </w:p>
        </w:tc>
        <w:tc>
          <w:tcPr>
            <w:tcW w:w="992" w:type="dxa"/>
            <w:tcBorders>
              <w:top w:val="nil"/>
              <w:left w:val="nil"/>
              <w:bottom w:val="single" w:color="auto" w:sz="4" w:space="0"/>
              <w:right w:val="nil"/>
            </w:tcBorders>
            <w:shd w:val="clear" w:color="auto" w:fill="auto"/>
            <w:vAlign w:val="center"/>
          </w:tcPr>
          <w:p w14:paraId="1F662F9A">
            <w:pPr>
              <w:widowControl/>
              <w:jc w:val="center"/>
              <w:rPr>
                <w:rFonts w:ascii="宋体" w:hAnsi="宋体" w:cs="宋体"/>
                <w:color w:val="000000"/>
                <w:kern w:val="0"/>
                <w:sz w:val="18"/>
                <w:szCs w:val="18"/>
              </w:rPr>
            </w:pPr>
            <w:r>
              <w:rPr>
                <w:rFonts w:hint="eastAsia" w:ascii="宋体" w:hAnsi="宋体" w:cs="宋体"/>
                <w:color w:val="000000"/>
                <w:kern w:val="0"/>
                <w:sz w:val="18"/>
                <w:szCs w:val="18"/>
              </w:rPr>
              <w:t>Z＜2000</w:t>
            </w:r>
          </w:p>
        </w:tc>
      </w:tr>
      <w:tr w14:paraId="002A974E">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10942CB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物业管理</w:t>
            </w:r>
          </w:p>
        </w:tc>
        <w:tc>
          <w:tcPr>
            <w:tcW w:w="1369" w:type="dxa"/>
            <w:tcBorders>
              <w:top w:val="nil"/>
              <w:left w:val="nil"/>
              <w:bottom w:val="nil"/>
              <w:right w:val="single" w:color="auto" w:sz="4" w:space="0"/>
            </w:tcBorders>
            <w:shd w:val="clear" w:color="auto" w:fill="auto"/>
            <w:vAlign w:val="center"/>
          </w:tcPr>
          <w:p w14:paraId="2ABF230F">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62B201E8">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0FB179AE">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tcBorders>
              <w:top w:val="nil"/>
              <w:left w:val="nil"/>
              <w:bottom w:val="nil"/>
              <w:right w:val="single" w:color="auto" w:sz="4" w:space="0"/>
            </w:tcBorders>
            <w:shd w:val="clear" w:color="auto" w:fill="auto"/>
            <w:vAlign w:val="center"/>
          </w:tcPr>
          <w:p w14:paraId="39E4E0D3">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tcBorders>
              <w:top w:val="nil"/>
              <w:left w:val="nil"/>
              <w:bottom w:val="nil"/>
              <w:right w:val="single" w:color="auto" w:sz="4" w:space="0"/>
            </w:tcBorders>
            <w:shd w:val="clear" w:color="auto" w:fill="auto"/>
            <w:vAlign w:val="center"/>
          </w:tcPr>
          <w:p w14:paraId="0D026D2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992" w:type="dxa"/>
            <w:tcBorders>
              <w:top w:val="nil"/>
              <w:left w:val="nil"/>
              <w:bottom w:val="nil"/>
              <w:right w:val="nil"/>
            </w:tcBorders>
            <w:shd w:val="clear" w:color="auto" w:fill="auto"/>
            <w:vAlign w:val="center"/>
          </w:tcPr>
          <w:p w14:paraId="3763883A">
            <w:pPr>
              <w:widowControl/>
              <w:jc w:val="center"/>
              <w:rPr>
                <w:rFonts w:ascii="宋体" w:hAnsi="宋体" w:cs="宋体"/>
                <w:color w:val="000000"/>
                <w:kern w:val="0"/>
                <w:sz w:val="18"/>
                <w:szCs w:val="18"/>
              </w:rPr>
            </w:pPr>
            <w:r>
              <w:rPr>
                <w:rFonts w:hint="eastAsia" w:ascii="宋体" w:hAnsi="宋体" w:cs="宋体"/>
                <w:color w:val="000000"/>
                <w:kern w:val="0"/>
                <w:sz w:val="18"/>
                <w:szCs w:val="18"/>
              </w:rPr>
              <w:t>X＜100</w:t>
            </w:r>
          </w:p>
        </w:tc>
      </w:tr>
      <w:tr w14:paraId="622921A7">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6CFC7DB4">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1F008A89">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tcBorders>
              <w:top w:val="nil"/>
              <w:left w:val="nil"/>
              <w:bottom w:val="single" w:color="auto" w:sz="4" w:space="0"/>
              <w:right w:val="single" w:color="auto" w:sz="4" w:space="0"/>
            </w:tcBorders>
            <w:shd w:val="clear" w:color="auto" w:fill="auto"/>
            <w:vAlign w:val="center"/>
          </w:tcPr>
          <w:p w14:paraId="7DDD4D27">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60F23F26">
            <w:pPr>
              <w:widowControl/>
              <w:jc w:val="center"/>
              <w:rPr>
                <w:rFonts w:ascii="宋体" w:hAnsi="宋体" w:cs="宋体"/>
                <w:color w:val="000000"/>
                <w:kern w:val="0"/>
                <w:sz w:val="18"/>
                <w:szCs w:val="18"/>
              </w:rPr>
            </w:pPr>
            <w:r>
              <w:rPr>
                <w:rFonts w:hint="eastAsia" w:ascii="宋体" w:hAnsi="宋体" w:cs="宋体"/>
                <w:color w:val="000000"/>
                <w:kern w:val="0"/>
                <w:sz w:val="18"/>
                <w:szCs w:val="18"/>
              </w:rPr>
              <w:t>Y≥5000</w:t>
            </w:r>
          </w:p>
        </w:tc>
        <w:tc>
          <w:tcPr>
            <w:tcW w:w="1701" w:type="dxa"/>
            <w:tcBorders>
              <w:top w:val="nil"/>
              <w:left w:val="nil"/>
              <w:bottom w:val="single" w:color="auto" w:sz="4" w:space="0"/>
              <w:right w:val="single" w:color="auto" w:sz="4" w:space="0"/>
            </w:tcBorders>
            <w:shd w:val="clear" w:color="auto" w:fill="auto"/>
            <w:vAlign w:val="center"/>
          </w:tcPr>
          <w:p w14:paraId="101C3CED">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1000≤Y＜5000 </w:t>
            </w:r>
          </w:p>
        </w:tc>
        <w:tc>
          <w:tcPr>
            <w:tcW w:w="1426" w:type="dxa"/>
            <w:tcBorders>
              <w:top w:val="nil"/>
              <w:left w:val="nil"/>
              <w:bottom w:val="single" w:color="auto" w:sz="4" w:space="0"/>
              <w:right w:val="single" w:color="auto" w:sz="4" w:space="0"/>
            </w:tcBorders>
            <w:shd w:val="clear" w:color="auto" w:fill="auto"/>
            <w:vAlign w:val="center"/>
          </w:tcPr>
          <w:p w14:paraId="43215B0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500≤Y＜1000</w:t>
            </w:r>
          </w:p>
        </w:tc>
        <w:tc>
          <w:tcPr>
            <w:tcW w:w="992" w:type="dxa"/>
            <w:tcBorders>
              <w:top w:val="nil"/>
              <w:left w:val="nil"/>
              <w:bottom w:val="single" w:color="auto" w:sz="4" w:space="0"/>
              <w:right w:val="nil"/>
            </w:tcBorders>
            <w:shd w:val="clear" w:color="auto" w:fill="auto"/>
            <w:vAlign w:val="center"/>
          </w:tcPr>
          <w:p w14:paraId="5FB2FF69">
            <w:pPr>
              <w:widowControl/>
              <w:jc w:val="center"/>
              <w:rPr>
                <w:rFonts w:ascii="宋体" w:hAnsi="宋体" w:cs="宋体"/>
                <w:color w:val="000000"/>
                <w:kern w:val="0"/>
                <w:sz w:val="18"/>
                <w:szCs w:val="18"/>
              </w:rPr>
            </w:pPr>
            <w:r>
              <w:rPr>
                <w:rFonts w:hint="eastAsia" w:ascii="宋体" w:hAnsi="宋体" w:cs="宋体"/>
                <w:color w:val="000000"/>
                <w:kern w:val="0"/>
                <w:sz w:val="18"/>
                <w:szCs w:val="18"/>
              </w:rPr>
              <w:t>Y＜500</w:t>
            </w:r>
          </w:p>
        </w:tc>
      </w:tr>
      <w:tr w14:paraId="2CF8495E">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shd w:val="clear" w:color="auto" w:fill="auto"/>
            <w:vAlign w:val="center"/>
          </w:tcPr>
          <w:p w14:paraId="0C723795">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1369" w:type="dxa"/>
            <w:tcBorders>
              <w:top w:val="nil"/>
              <w:left w:val="nil"/>
              <w:bottom w:val="nil"/>
              <w:right w:val="single" w:color="auto" w:sz="4" w:space="0"/>
            </w:tcBorders>
            <w:shd w:val="clear" w:color="auto" w:fill="auto"/>
            <w:vAlign w:val="center"/>
          </w:tcPr>
          <w:p w14:paraId="78B3C93B">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nil"/>
              <w:right w:val="single" w:color="auto" w:sz="4" w:space="0"/>
            </w:tcBorders>
            <w:shd w:val="clear" w:color="auto" w:fill="auto"/>
            <w:vAlign w:val="center"/>
          </w:tcPr>
          <w:p w14:paraId="1520BBF1">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nil"/>
              <w:right w:val="single" w:color="auto" w:sz="4" w:space="0"/>
            </w:tcBorders>
            <w:shd w:val="clear" w:color="auto" w:fill="auto"/>
            <w:vAlign w:val="center"/>
          </w:tcPr>
          <w:p w14:paraId="57EAD022">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nil"/>
              <w:right w:val="single" w:color="auto" w:sz="4" w:space="0"/>
            </w:tcBorders>
            <w:shd w:val="clear" w:color="auto" w:fill="auto"/>
            <w:vAlign w:val="center"/>
          </w:tcPr>
          <w:p w14:paraId="39FB8603">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nil"/>
              <w:right w:val="single" w:color="auto" w:sz="4" w:space="0"/>
            </w:tcBorders>
            <w:shd w:val="clear" w:color="auto" w:fill="auto"/>
            <w:vAlign w:val="center"/>
          </w:tcPr>
          <w:p w14:paraId="35A2E8E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nil"/>
              <w:right w:val="nil"/>
            </w:tcBorders>
            <w:shd w:val="clear" w:color="auto" w:fill="auto"/>
            <w:vAlign w:val="center"/>
          </w:tcPr>
          <w:p w14:paraId="3765C80C">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47C641D1">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582FBCE7">
            <w:pPr>
              <w:widowControl/>
              <w:jc w:val="left"/>
              <w:rPr>
                <w:rFonts w:ascii="宋体" w:hAnsi="宋体" w:cs="宋体"/>
                <w:color w:val="000000"/>
                <w:kern w:val="0"/>
                <w:sz w:val="18"/>
                <w:szCs w:val="18"/>
              </w:rPr>
            </w:pPr>
          </w:p>
        </w:tc>
        <w:tc>
          <w:tcPr>
            <w:tcW w:w="1369" w:type="dxa"/>
            <w:tcBorders>
              <w:top w:val="nil"/>
              <w:left w:val="nil"/>
              <w:bottom w:val="single" w:color="auto" w:sz="4" w:space="0"/>
              <w:right w:val="single" w:color="auto" w:sz="4" w:space="0"/>
            </w:tcBorders>
            <w:shd w:val="clear" w:color="auto" w:fill="auto"/>
            <w:vAlign w:val="center"/>
          </w:tcPr>
          <w:p w14:paraId="66C89965">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tcBorders>
              <w:top w:val="nil"/>
              <w:left w:val="nil"/>
              <w:bottom w:val="single" w:color="auto" w:sz="4" w:space="0"/>
              <w:right w:val="single" w:color="auto" w:sz="4" w:space="0"/>
            </w:tcBorders>
            <w:shd w:val="clear" w:color="auto" w:fill="auto"/>
            <w:vAlign w:val="center"/>
          </w:tcPr>
          <w:p w14:paraId="5370785D">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tcBorders>
              <w:top w:val="nil"/>
              <w:left w:val="nil"/>
              <w:bottom w:val="single" w:color="auto" w:sz="4" w:space="0"/>
              <w:right w:val="single" w:color="auto" w:sz="4" w:space="0"/>
            </w:tcBorders>
            <w:shd w:val="clear" w:color="auto" w:fill="auto"/>
            <w:vAlign w:val="center"/>
          </w:tcPr>
          <w:p w14:paraId="4148C543">
            <w:pPr>
              <w:widowControl/>
              <w:jc w:val="center"/>
              <w:rPr>
                <w:rFonts w:ascii="宋体" w:hAnsi="宋体" w:cs="宋体"/>
                <w:color w:val="000000"/>
                <w:kern w:val="0"/>
                <w:sz w:val="18"/>
                <w:szCs w:val="18"/>
              </w:rPr>
            </w:pPr>
            <w:r>
              <w:rPr>
                <w:rFonts w:hint="eastAsia" w:ascii="宋体" w:hAnsi="宋体" w:cs="宋体"/>
                <w:color w:val="000000"/>
                <w:kern w:val="0"/>
                <w:sz w:val="18"/>
                <w:szCs w:val="18"/>
              </w:rPr>
              <w:t>Z≥120000</w:t>
            </w:r>
          </w:p>
        </w:tc>
        <w:tc>
          <w:tcPr>
            <w:tcW w:w="1701" w:type="dxa"/>
            <w:tcBorders>
              <w:top w:val="nil"/>
              <w:left w:val="nil"/>
              <w:bottom w:val="single" w:color="auto" w:sz="4" w:space="0"/>
              <w:right w:val="single" w:color="auto" w:sz="4" w:space="0"/>
            </w:tcBorders>
            <w:shd w:val="clear" w:color="auto" w:fill="auto"/>
            <w:vAlign w:val="center"/>
          </w:tcPr>
          <w:p w14:paraId="077DD87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8000≤Z＜120000</w:t>
            </w:r>
          </w:p>
        </w:tc>
        <w:tc>
          <w:tcPr>
            <w:tcW w:w="1426" w:type="dxa"/>
            <w:tcBorders>
              <w:top w:val="nil"/>
              <w:left w:val="nil"/>
              <w:bottom w:val="single" w:color="auto" w:sz="4" w:space="0"/>
              <w:right w:val="single" w:color="auto" w:sz="4" w:space="0"/>
            </w:tcBorders>
            <w:shd w:val="clear" w:color="auto" w:fill="auto"/>
            <w:vAlign w:val="center"/>
          </w:tcPr>
          <w:p w14:paraId="547BF8A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100≤Z＜8000</w:t>
            </w:r>
          </w:p>
        </w:tc>
        <w:tc>
          <w:tcPr>
            <w:tcW w:w="992" w:type="dxa"/>
            <w:tcBorders>
              <w:top w:val="nil"/>
              <w:left w:val="nil"/>
              <w:bottom w:val="single" w:color="auto" w:sz="4" w:space="0"/>
              <w:right w:val="nil"/>
            </w:tcBorders>
            <w:shd w:val="clear" w:color="auto" w:fill="auto"/>
            <w:vAlign w:val="center"/>
          </w:tcPr>
          <w:p w14:paraId="75D6C84A">
            <w:pPr>
              <w:widowControl/>
              <w:jc w:val="center"/>
              <w:rPr>
                <w:rFonts w:ascii="宋体" w:hAnsi="宋体" w:cs="宋体"/>
                <w:color w:val="000000"/>
                <w:kern w:val="0"/>
                <w:sz w:val="18"/>
                <w:szCs w:val="18"/>
              </w:rPr>
            </w:pPr>
            <w:r>
              <w:rPr>
                <w:rFonts w:hint="eastAsia" w:ascii="宋体" w:hAnsi="宋体" w:cs="宋体"/>
                <w:color w:val="000000"/>
                <w:kern w:val="0"/>
                <w:sz w:val="18"/>
                <w:szCs w:val="18"/>
              </w:rPr>
              <w:t>Z＜100</w:t>
            </w:r>
          </w:p>
        </w:tc>
      </w:tr>
      <w:tr w14:paraId="5DF85799">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shd w:val="clear" w:color="auto" w:fill="auto"/>
            <w:vAlign w:val="center"/>
          </w:tcPr>
          <w:p w14:paraId="76528E1B">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其他未列明行业 *</w:t>
            </w:r>
          </w:p>
        </w:tc>
        <w:tc>
          <w:tcPr>
            <w:tcW w:w="1369" w:type="dxa"/>
            <w:tcBorders>
              <w:top w:val="nil"/>
              <w:left w:val="nil"/>
              <w:bottom w:val="single" w:color="auto" w:sz="4" w:space="0"/>
              <w:right w:val="single" w:color="auto" w:sz="4" w:space="0"/>
            </w:tcBorders>
            <w:shd w:val="clear" w:color="auto" w:fill="auto"/>
            <w:vAlign w:val="center"/>
          </w:tcPr>
          <w:p w14:paraId="7ECDEC4A">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tcBorders>
              <w:top w:val="nil"/>
              <w:left w:val="nil"/>
              <w:bottom w:val="single" w:color="auto" w:sz="4" w:space="0"/>
              <w:right w:val="single" w:color="auto" w:sz="4" w:space="0"/>
            </w:tcBorders>
            <w:shd w:val="clear" w:color="auto" w:fill="auto"/>
            <w:vAlign w:val="center"/>
          </w:tcPr>
          <w:p w14:paraId="65D61FC9">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tcBorders>
              <w:top w:val="nil"/>
              <w:left w:val="nil"/>
              <w:bottom w:val="single" w:color="auto" w:sz="4" w:space="0"/>
              <w:right w:val="single" w:color="auto" w:sz="4" w:space="0"/>
            </w:tcBorders>
            <w:shd w:val="clear" w:color="auto" w:fill="auto"/>
            <w:vAlign w:val="center"/>
          </w:tcPr>
          <w:p w14:paraId="6285A57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tcBorders>
              <w:top w:val="nil"/>
              <w:left w:val="nil"/>
              <w:bottom w:val="single" w:color="auto" w:sz="4" w:space="0"/>
              <w:right w:val="single" w:color="auto" w:sz="4" w:space="0"/>
            </w:tcBorders>
            <w:shd w:val="clear" w:color="auto" w:fill="auto"/>
            <w:vAlign w:val="center"/>
          </w:tcPr>
          <w:p w14:paraId="6235A082">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tcBorders>
              <w:top w:val="nil"/>
              <w:left w:val="nil"/>
              <w:bottom w:val="single" w:color="auto" w:sz="4" w:space="0"/>
              <w:right w:val="single" w:color="auto" w:sz="4" w:space="0"/>
            </w:tcBorders>
            <w:shd w:val="clear" w:color="auto" w:fill="auto"/>
            <w:vAlign w:val="center"/>
          </w:tcPr>
          <w:p w14:paraId="5B2A719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tcBorders>
              <w:top w:val="nil"/>
              <w:left w:val="nil"/>
              <w:bottom w:val="single" w:color="auto" w:sz="4" w:space="0"/>
              <w:right w:val="nil"/>
            </w:tcBorders>
            <w:shd w:val="clear" w:color="auto" w:fill="auto"/>
            <w:vAlign w:val="center"/>
          </w:tcPr>
          <w:p w14:paraId="150810C0">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bl>
    <w:p w14:paraId="56935F2F">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说明：</w:t>
      </w:r>
    </w:p>
    <w:p w14:paraId="67206490">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1.大型、中型和小型企业须同时满足所列指标的下限，否则下划一档；微型企业只须满足所列指标中的一项即可。</w:t>
      </w:r>
    </w:p>
    <w:p w14:paraId="309A518D">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41D68A2">
      <w:pPr>
        <w:widowControl/>
        <w:spacing w:line="360" w:lineRule="auto"/>
        <w:ind w:firstLine="371" w:firstLineChars="177"/>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F67716F">
      <w:pPr>
        <w:spacing w:line="360" w:lineRule="auto"/>
        <w:rPr>
          <w:rFonts w:asciiTheme="minorEastAsia" w:hAnsiTheme="minorEastAsia" w:eastAsiaTheme="minorEastAsia"/>
          <w:szCs w:val="21"/>
        </w:rPr>
      </w:pPr>
    </w:p>
    <w:p w14:paraId="7742571F">
      <w:pPr>
        <w:pStyle w:val="4"/>
        <w:spacing w:before="0" w:after="0"/>
        <w:jc w:val="center"/>
      </w:pPr>
      <w:bookmarkStart w:id="26" w:name="_Toc73610165"/>
      <w:bookmarkStart w:id="27" w:name="_Toc73613647"/>
      <w:r>
        <w:rPr>
          <w:rFonts w:hint="eastAsia"/>
        </w:rPr>
        <w:t>四、</w:t>
      </w:r>
      <w:r>
        <w:t>财政部 民政部 中国残疾人联合会关于促进残疾人就业 政府采购政策的通知</w:t>
      </w:r>
      <w:bookmarkEnd w:id="26"/>
      <w:bookmarkEnd w:id="27"/>
      <w:r>
        <w:t xml:space="preserve"> </w:t>
      </w:r>
    </w:p>
    <w:p w14:paraId="4FEAB67B">
      <w:pPr>
        <w:pStyle w:val="37"/>
        <w:shd w:val="clear" w:color="auto" w:fill="FFFFFF"/>
        <w:spacing w:line="360" w:lineRule="auto"/>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财库〔2017〕141号</w:t>
      </w:r>
    </w:p>
    <w:p w14:paraId="6F83DB1A">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646EEA79">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为了发挥政府采购促进残疾人就业的作用，进一步保障残疾人权益，依照《政府采购法》、《残疾人保障法》等法律法规及相关规定，现就促进残疾人就业政府采购政策通知如下：</w:t>
      </w:r>
    </w:p>
    <w:p w14:paraId="56435AC4">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一、享受政府采购支持政策的残疾人福利性单位应当同时满足以下条件：</w:t>
      </w:r>
    </w:p>
    <w:p w14:paraId="46626CF9">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（一）安置的残疾人占本单位在职职工人数的比例不低于25%（含25%），并且安置的残疾人人数不少于10人（含10人）；</w:t>
      </w:r>
    </w:p>
    <w:p w14:paraId="4662E618">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（二）依法与安置的每位残疾人签订了一年以上（含一年）的劳动合同或服务协议；</w:t>
      </w:r>
    </w:p>
    <w:p w14:paraId="0C494214">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（三）为安置的每位残疾人按月足额缴纳了基本养老保险、基本医疗保险、失业保险、工伤保险和生育保险等社会保险费；</w:t>
      </w:r>
    </w:p>
    <w:p w14:paraId="0E3B74DB">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（四）通过银行等金融机构向安置的每位残疾人，按月支付了不低于单位所在区县适用的经省级人民政府批准的月最低工资标准的工资；</w:t>
      </w:r>
    </w:p>
    <w:p w14:paraId="3DF05DEF">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（五）提供本单位制造的货物、承担的工程或者服务（以下简称产品），或者提供其他残疾人福利性单位制造的货物（不包括使用非残疾人福利性单位注册商标的货物）。</w:t>
      </w:r>
    </w:p>
    <w:p w14:paraId="7D0FE264">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82A8D11">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6BD09A99">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中标、成交供应商为残疾人福利性单位的，采购人或者其委托的采购代理机构应当随中标、成交结果同时公告其《残疾人福利性单位声明函》，接受社会监督。</w:t>
      </w:r>
    </w:p>
    <w:p w14:paraId="16FC8C45">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供应商提供的《残疾人福利性单位声明函》与事实不符的，依照《政府采购法》第七十七条第一款的规定追究法律责任。</w:t>
      </w:r>
    </w:p>
    <w:p w14:paraId="46B5E755">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114B3D8D">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四、采购人采购公开招标数额标准以上的货物或者服务，因落实促进残疾人就业政策的需要，依法履行有关报批程序后，可采用公开招标以外的采购方式。</w:t>
      </w:r>
    </w:p>
    <w:p w14:paraId="3C50D797">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07BA8E21">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644CE468">
      <w:pPr>
        <w:widowControl/>
        <w:spacing w:line="360" w:lineRule="auto"/>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七、本通知自2017年10月1日起执行。</w:t>
      </w:r>
    </w:p>
    <w:p w14:paraId="59ECE89D">
      <w:pPr>
        <w:widowControl/>
        <w:spacing w:line="360" w:lineRule="auto"/>
        <w:jc w:val="left"/>
        <w:rPr>
          <w:rFonts w:cs="宋体" w:asciiTheme="minorEastAsia" w:hAnsiTheme="minorEastAsia" w:eastAsiaTheme="minorEastAsia"/>
          <w:kern w:val="0"/>
          <w:szCs w:val="21"/>
        </w:rPr>
      </w:pPr>
      <w:r>
        <w:rPr>
          <w:rFonts w:cs="宋体" w:asciiTheme="minorEastAsia" w:hAnsiTheme="minorEastAsia" w:eastAsiaTheme="minorEastAsia"/>
          <w:kern w:val="0"/>
          <w:szCs w:val="21"/>
        </w:rPr>
        <w:t>　　</w:t>
      </w:r>
    </w:p>
    <w:p w14:paraId="3B950B57">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财政部 民政部 中国残疾人联合会</w:t>
      </w:r>
    </w:p>
    <w:p w14:paraId="65CB3A54">
      <w:pPr>
        <w:widowControl/>
        <w:spacing w:line="360" w:lineRule="auto"/>
        <w:jc w:val="right"/>
        <w:rPr>
          <w:rFonts w:cs="宋体" w:asciiTheme="minorEastAsia" w:hAnsiTheme="minorEastAsia" w:eastAsiaTheme="minorEastAsia"/>
          <w:kern w:val="0"/>
          <w:szCs w:val="21"/>
        </w:rPr>
      </w:pPr>
    </w:p>
    <w:p w14:paraId="228C7A38">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2017年8月22日</w:t>
      </w:r>
    </w:p>
    <w:p w14:paraId="61291D2C">
      <w:pPr>
        <w:tabs>
          <w:tab w:val="left" w:pos="1875"/>
        </w:tabs>
      </w:pPr>
    </w:p>
    <w:p w14:paraId="0E5F27DC"/>
    <w:p w14:paraId="455580DB">
      <w:pPr>
        <w:pStyle w:val="4"/>
        <w:spacing w:before="0" w:after="0"/>
        <w:jc w:val="center"/>
      </w:pPr>
      <w:r>
        <w:rPr>
          <w:rFonts w:hint="eastAsia"/>
        </w:rPr>
        <w:t>五、财政部 司法部关于政府采购支持监狱企业发展有关问题的通知</w:t>
      </w:r>
      <w:r>
        <w:t xml:space="preserve"> </w:t>
      </w:r>
    </w:p>
    <w:p w14:paraId="356876EA">
      <w:pPr>
        <w:widowControl/>
        <w:spacing w:line="360" w:lineRule="auto"/>
        <w:jc w:val="center"/>
        <w:rPr>
          <w:rFonts w:cs="宋体" w:asciiTheme="minorEastAsia" w:hAnsiTheme="minorEastAsia" w:eastAsiaTheme="minorEastAsia"/>
          <w:kern w:val="0"/>
          <w:szCs w:val="21"/>
        </w:rPr>
      </w:pPr>
    </w:p>
    <w:p w14:paraId="43D8A124">
      <w:pPr>
        <w:widowControl/>
        <w:spacing w:line="360" w:lineRule="auto"/>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财库〔2014〕68号</w:t>
      </w:r>
    </w:p>
    <w:p w14:paraId="1BB0FAB4">
      <w:pPr>
        <w:widowControl/>
        <w:spacing w:line="360" w:lineRule="auto"/>
        <w:jc w:val="left"/>
        <w:rPr>
          <w:rFonts w:cs="宋体" w:asciiTheme="minorEastAsia" w:hAnsiTheme="minorEastAsia" w:eastAsiaTheme="minorEastAsia"/>
          <w:kern w:val="0"/>
          <w:szCs w:val="21"/>
        </w:rPr>
      </w:pPr>
    </w:p>
    <w:p w14:paraId="420607CB">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44625F9E">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w:t>
      </w:r>
      <w:r>
        <w:rPr>
          <w:rFonts w:cs="宋体" w:asciiTheme="minorEastAsia" w:hAnsiTheme="minorEastAsia" w:eastAsiaTheme="minorEastAsia"/>
          <w:kern w:val="0"/>
          <w:szCs w:val="21"/>
        </w:rPr>
        <w:t>[2003]7</w:t>
      </w:r>
      <w:r>
        <w:rPr>
          <w:rFonts w:hint="eastAsia" w:cs="宋体" w:asciiTheme="minorEastAsia" w:hAnsiTheme="minorEastAsia" w:eastAsiaTheme="minorEastAsia"/>
          <w:kern w:val="0"/>
          <w:szCs w:val="21"/>
        </w:rPr>
        <w:t>号）文件精神，发挥政府采购支持监狱企业发展的作用，现就有关事项通知如下：</w:t>
      </w:r>
    </w:p>
    <w:p w14:paraId="00E85694">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01F7CD04">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二、在政府采购活动中，监狱企业视同小型、微型企业，享受预留份额、评审中价格扣除等政府采购促进中小企业发展的政府采购政策。向监狱企业采购的金额，计入面向中小企业采购的统计数据。</w:t>
      </w:r>
    </w:p>
    <w:p w14:paraId="7AA4DB46">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三、各地区、各部门要积极通过预留采购份额支持监狱企业。有制服采购项目的部门，应加强对政府采购预算和计划编制工作的统筹，预留本部门制服采购项目预算总额的</w:t>
      </w:r>
      <w:r>
        <w:rPr>
          <w:rFonts w:cs="宋体" w:asciiTheme="minorEastAsia" w:hAnsiTheme="minorEastAsia" w:eastAsiaTheme="minorEastAsia"/>
          <w:kern w:val="0"/>
          <w:szCs w:val="21"/>
        </w:rPr>
        <w:t>30%</w:t>
      </w:r>
      <w:r>
        <w:rPr>
          <w:rFonts w:hint="eastAsia" w:cs="宋体" w:asciiTheme="minorEastAsia" w:hAnsiTheme="minorEastAsia" w:eastAsiaTheme="minorEastAsia"/>
          <w:kern w:val="0"/>
          <w:szCs w:val="21"/>
        </w:rPr>
        <w:t>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75728687">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四、各地区可以结合本地区实际，对监狱企业生产的办公用品、家具用具、车辆维修和提供的保养服务、消防设备等，提出预留份额等政府采购支持措施，加大对监狱企业产品的采购力度。</w:t>
      </w:r>
    </w:p>
    <w:p w14:paraId="67A89ADB">
      <w:pPr>
        <w:widowControl/>
        <w:spacing w:line="360" w:lineRule="auto"/>
        <w:ind w:firstLine="424" w:firstLineChars="202"/>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468BBB92">
      <w:pPr>
        <w:widowControl/>
        <w:spacing w:line="360" w:lineRule="auto"/>
        <w:jc w:val="left"/>
        <w:rPr>
          <w:rFonts w:cs="宋体" w:asciiTheme="minorEastAsia" w:hAnsiTheme="minorEastAsia" w:eastAsiaTheme="minorEastAsia"/>
          <w:kern w:val="0"/>
          <w:szCs w:val="21"/>
        </w:rPr>
      </w:pPr>
    </w:p>
    <w:p w14:paraId="52D0BFB1">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中华人民共和国财政部</w:t>
      </w:r>
    </w:p>
    <w:p w14:paraId="0ADD5AF3">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中华人民共和国司法部</w:t>
      </w:r>
    </w:p>
    <w:p w14:paraId="43CBDD6B">
      <w:pPr>
        <w:widowControl/>
        <w:spacing w:line="360" w:lineRule="auto"/>
        <w:jc w:val="righ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2014年6月10日</w:t>
      </w:r>
    </w:p>
    <w:p w14:paraId="445422E2">
      <w:pPr>
        <w:widowControl/>
        <w:spacing w:line="360" w:lineRule="auto"/>
        <w:jc w:val="center"/>
        <w:rPr>
          <w:rFonts w:asciiTheme="majorEastAsia" w:hAnsiTheme="majorEastAsia" w:eastAsiaTheme="majorEastAsia"/>
          <w:b/>
          <w:sz w:val="32"/>
          <w:szCs w:val="32"/>
        </w:rPr>
      </w:pPr>
      <w:r>
        <w:rPr>
          <w:rFonts w:cs="宋体" w:asciiTheme="minorEastAsia" w:hAnsiTheme="minorEastAsia" w:eastAsiaTheme="minorEastAsia"/>
          <w:kern w:val="0"/>
          <w:szCs w:val="21"/>
        </w:rPr>
        <w:br w:type="page"/>
      </w:r>
      <w:r>
        <w:rPr>
          <w:rFonts w:hint="eastAsia" w:asciiTheme="majorEastAsia" w:hAnsiTheme="majorEastAsia" w:eastAsiaTheme="majorEastAsia"/>
          <w:b/>
          <w:sz w:val="32"/>
          <w:szCs w:val="32"/>
        </w:rPr>
        <w:t>第二册  通用条款（公开招标）</w:t>
      </w:r>
    </w:p>
    <w:p w14:paraId="6B7D1C64">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bookmarkStart w:id="28" w:name="_Hlk72399513"/>
      <w:r>
        <w:rPr>
          <w:rFonts w:hint="eastAsia" w:asciiTheme="majorEastAsia" w:hAnsiTheme="majorEastAsia" w:eastAsiaTheme="majorEastAsia"/>
          <w:b/>
          <w:bCs/>
          <w:kern w:val="0"/>
          <w:sz w:val="28"/>
          <w:szCs w:val="28"/>
        </w:rPr>
        <w:t>总则</w:t>
      </w:r>
    </w:p>
    <w:bookmarkEnd w:id="28"/>
    <w:p w14:paraId="499DC0BA">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1. 通用条款说明</w:t>
      </w:r>
    </w:p>
    <w:p w14:paraId="2DE77D3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1.1采购代理机构发出招标文件通用条款版本，列出深圳市政府采购项目进行招标采购所适用的通用条款内容。</w:t>
      </w:r>
      <w:bookmarkStart w:id="29" w:name="_Hlk72399729"/>
      <w:r>
        <w:rPr>
          <w:rFonts w:hint="eastAsia" w:asciiTheme="majorEastAsia" w:hAnsiTheme="majorEastAsia" w:eastAsiaTheme="majorEastAsia"/>
          <w:szCs w:val="21"/>
        </w:rPr>
        <w:t>如有需要，采购代理机构可以对通用条款的内容进行补充。</w:t>
      </w:r>
      <w:bookmarkEnd w:id="29"/>
    </w:p>
    <w:p w14:paraId="7EF59370">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1.2招标文件分为第一册“专用条款”和第二册“通用条款”。</w:t>
      </w:r>
    </w:p>
    <w:p w14:paraId="6FBBEF2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1.3“专用条款”是对本次采购项目的具体要求，包含招标公告、对通用条款的补充内容及其他关键信息、用户需求书、投标文件格式及附件、合同条款及格式等内容。</w:t>
      </w:r>
    </w:p>
    <w:p w14:paraId="09099D6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1.4“通用条款”是适用于政府采购公开招标项目的基础性条款，具有普遍性和通用性。</w:t>
      </w:r>
    </w:p>
    <w:p w14:paraId="4CCF45A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1.5 “专用条款”和“通用条款”表述不一致或有冲突时，以“专用条款”为准。</w:t>
      </w:r>
    </w:p>
    <w:p w14:paraId="5E40535D">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2</w:t>
      </w:r>
      <w:r>
        <w:rPr>
          <w:rFonts w:asciiTheme="majorEastAsia" w:hAnsiTheme="majorEastAsia" w:eastAsiaTheme="majorEastAsia"/>
          <w:b/>
          <w:bCs/>
          <w:szCs w:val="21"/>
        </w:rPr>
        <w:t>．</w:t>
      </w:r>
      <w:r>
        <w:rPr>
          <w:rFonts w:hint="eastAsia" w:asciiTheme="majorEastAsia" w:hAnsiTheme="majorEastAsia" w:eastAsiaTheme="majorEastAsia"/>
          <w:b/>
          <w:bCs/>
          <w:szCs w:val="21"/>
        </w:rPr>
        <w:t>招标说明</w:t>
      </w:r>
    </w:p>
    <w:p w14:paraId="2E82166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本项目按照《深圳经济特区政府采购条例》、《深圳经济特区政府采购条例实施细则》及政府采购其他法律法规，通过公开招标方式确定中标供应商。</w:t>
      </w:r>
    </w:p>
    <w:p w14:paraId="5BEC516C">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3．定义</w:t>
      </w:r>
    </w:p>
    <w:p w14:paraId="0CFC8802">
      <w:pPr>
        <w:spacing w:line="360" w:lineRule="auto"/>
        <w:ind w:firstLine="420" w:firstLineChars="200"/>
        <w:rPr>
          <w:rFonts w:asciiTheme="majorEastAsia" w:hAnsiTheme="majorEastAsia" w:eastAsiaTheme="majorEastAsia"/>
          <w:szCs w:val="21"/>
        </w:rPr>
      </w:pPr>
      <w:r>
        <w:rPr>
          <w:rFonts w:asciiTheme="majorEastAsia" w:hAnsiTheme="majorEastAsia" w:eastAsiaTheme="majorEastAsia"/>
          <w:szCs w:val="21"/>
        </w:rPr>
        <w:t>招标文件中下列术语应解释为：</w:t>
      </w:r>
    </w:p>
    <w:p w14:paraId="49D9F9A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w:t>
      </w:r>
      <w:r>
        <w:rPr>
          <w:rFonts w:asciiTheme="majorEastAsia" w:hAnsiTheme="majorEastAsia" w:eastAsiaTheme="majorEastAsia"/>
          <w:szCs w:val="21"/>
        </w:rPr>
        <w:t>1</w:t>
      </w:r>
      <w:r>
        <w:rPr>
          <w:rFonts w:hint="eastAsia" w:asciiTheme="majorEastAsia" w:hAnsiTheme="majorEastAsia" w:eastAsiaTheme="majorEastAsia"/>
          <w:szCs w:val="21"/>
        </w:rPr>
        <w:t>“采购人”：指利用财政性资金依法进行政府采购的国家机关、事业单位、团体组织；</w:t>
      </w:r>
    </w:p>
    <w:p w14:paraId="6196219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 “政府集中采购机构”</w:t>
      </w:r>
      <w:r>
        <w:rPr>
          <w:rFonts w:hint="eastAsia" w:cs="Arial" w:asciiTheme="majorEastAsia" w:hAnsiTheme="majorEastAsia" w:eastAsiaTheme="majorEastAsia"/>
          <w:szCs w:val="21"/>
          <w:shd w:val="clear" w:color="auto" w:fill="FFFFFF"/>
        </w:rPr>
        <w:t>是指市政府设立的，对纳入集中采购目录内的采购项目组织实施采购，并对政府采购活动提供服务的专门机构；</w:t>
      </w:r>
      <w:r>
        <w:rPr>
          <w:rFonts w:hint="eastAsia" w:asciiTheme="majorEastAsia" w:hAnsiTheme="majorEastAsia" w:eastAsiaTheme="majorEastAsia"/>
          <w:szCs w:val="21"/>
        </w:rPr>
        <w:t>本文件所述的“政府集中采购机构”</w:t>
      </w:r>
      <w:r>
        <w:rPr>
          <w:rFonts w:asciiTheme="majorEastAsia" w:hAnsiTheme="majorEastAsia" w:eastAsiaTheme="majorEastAsia"/>
          <w:szCs w:val="21"/>
        </w:rPr>
        <w:t>指</w:t>
      </w:r>
      <w:r>
        <w:rPr>
          <w:rFonts w:hint="eastAsia" w:asciiTheme="majorEastAsia" w:hAnsiTheme="majorEastAsia" w:eastAsiaTheme="majorEastAsia"/>
          <w:szCs w:val="21"/>
        </w:rPr>
        <w:t>深圳公共资源交易中心；</w:t>
      </w:r>
    </w:p>
    <w:p w14:paraId="2D40189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3.3“采购代理机构”是指根据采购人委托，代理政府采购事宜的社会采购代理机构。本招标文件的招标机构特指</w:t>
      </w:r>
      <w:r>
        <w:rPr>
          <w:rFonts w:hint="eastAsia" w:asciiTheme="majorEastAsia" w:hAnsiTheme="majorEastAsia" w:eastAsiaTheme="majorEastAsia"/>
          <w:b/>
          <w:bCs/>
          <w:szCs w:val="21"/>
        </w:rPr>
        <w:t>深圳市中正招标有限公司；</w:t>
      </w:r>
    </w:p>
    <w:p w14:paraId="2492038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3.4“投标人”，即供应商，指参加投标竞争并愿意按照招标文件要求向采购人提供货物、工程或者服务的依法成立的法人、其他组织或者自然人；</w:t>
      </w:r>
    </w:p>
    <w:p w14:paraId="44EF16C7">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3.5“评审委员会”是依据《深圳经济特区政府采购条例》、《深圳经济特区政府采购条例实施细则》等有关规定组建的专门负责本次招标其评审工作的临时性机构；</w:t>
      </w:r>
    </w:p>
    <w:p w14:paraId="6DC7338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3.6“日期”</w:t>
      </w:r>
      <w:r>
        <w:rPr>
          <w:rFonts w:asciiTheme="majorEastAsia" w:hAnsiTheme="majorEastAsia" w:eastAsiaTheme="majorEastAsia"/>
          <w:szCs w:val="21"/>
        </w:rPr>
        <w:t>指</w:t>
      </w:r>
      <w:r>
        <w:rPr>
          <w:rFonts w:hint="eastAsia" w:asciiTheme="majorEastAsia" w:hAnsiTheme="majorEastAsia" w:eastAsiaTheme="majorEastAsia"/>
          <w:szCs w:val="21"/>
        </w:rPr>
        <w:t>公历日；</w:t>
      </w:r>
    </w:p>
    <w:p w14:paraId="0ED0027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3.7“合同”指由本次招标所产生的合同或合约文件；</w:t>
      </w:r>
    </w:p>
    <w:p w14:paraId="476C652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3.8“电子投标文件”指利用</w:t>
      </w:r>
      <w:r>
        <w:rPr>
          <w:rFonts w:hint="eastAsia" w:asciiTheme="majorEastAsia" w:hAnsiTheme="majorEastAsia" w:eastAsiaTheme="majorEastAsia"/>
          <w:bCs/>
          <w:szCs w:val="21"/>
        </w:rPr>
        <w:t>深圳公共资源交易网</w:t>
      </w:r>
      <w:r>
        <w:rPr>
          <w:rFonts w:hint="eastAsia" w:asciiTheme="majorEastAsia" w:hAnsiTheme="majorEastAsia" w:eastAsiaTheme="majorEastAsia"/>
          <w:szCs w:val="21"/>
        </w:rPr>
        <w:t>站提供的深圳智慧采购平台投标文件制作专用软件（以下简称：投标文件制作软件）制作并加密的投标文件,适用于网上投标；（投标文件制作软件可从“下载地址：</w:t>
      </w:r>
      <w:r>
        <w:rPr>
          <w:rFonts w:asciiTheme="majorEastAsia" w:hAnsiTheme="majorEastAsia" w:eastAsiaTheme="majorEastAsia"/>
          <w:szCs w:val="21"/>
        </w:rPr>
        <w:t>http://zfcg.szggzy.com/</w:t>
      </w:r>
      <w:r>
        <w:rPr>
          <w:rFonts w:hint="eastAsia" w:asciiTheme="majorEastAsia" w:hAnsiTheme="majorEastAsia" w:eastAsiaTheme="majorEastAsia"/>
          <w:szCs w:val="21"/>
        </w:rPr>
        <w:t>TPBidder/DownLoad/深圳市智慧采购平台投标文件制作专用软件.zip”下载）；</w:t>
      </w:r>
    </w:p>
    <w:p w14:paraId="5F0C307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3.9“网上投标”指通过</w:t>
      </w:r>
      <w:r>
        <w:rPr>
          <w:rFonts w:hint="eastAsia" w:asciiTheme="majorEastAsia" w:hAnsiTheme="majorEastAsia" w:eastAsiaTheme="majorEastAsia"/>
          <w:bCs/>
          <w:szCs w:val="21"/>
        </w:rPr>
        <w:t>深圳公共资源交易网</w:t>
      </w:r>
      <w:r>
        <w:rPr>
          <w:rFonts w:hint="eastAsia" w:asciiTheme="majorEastAsia" w:hAnsiTheme="majorEastAsia" w:eastAsiaTheme="majorEastAsia"/>
          <w:szCs w:val="21"/>
        </w:rPr>
        <w:t>站上传电子投标文件；</w:t>
      </w:r>
    </w:p>
    <w:p w14:paraId="4524067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3.10招标文件中的标题或题名仅起引导作用，而不应视为对招标文件内容的理解和解释。</w:t>
      </w:r>
    </w:p>
    <w:p w14:paraId="4B41EBDC">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 xml:space="preserve">4. </w:t>
      </w:r>
      <w:bookmarkStart w:id="30" w:name="_Hlk72398643"/>
      <w:r>
        <w:rPr>
          <w:rFonts w:hint="eastAsia" w:asciiTheme="majorEastAsia" w:hAnsiTheme="majorEastAsia" w:eastAsiaTheme="majorEastAsia"/>
          <w:b/>
          <w:bCs/>
          <w:szCs w:val="21"/>
        </w:rPr>
        <w:t>政府采购供应商责任</w:t>
      </w:r>
    </w:p>
    <w:p w14:paraId="7DA046DF">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4.1欢迎诚信、有实力和有社会责任心的供应商参与政府采购事业。</w:t>
      </w:r>
    </w:p>
    <w:p w14:paraId="2E817850">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4.2投标人应当遵循公平竞争的原则，不得恶意串通，不得妨碍其他投标人的竞争行为，不得损害采购人或者其他投标人的合法权益。如违反上述要求，经核实后，供应商的投标无效。</w:t>
      </w:r>
    </w:p>
    <w:p w14:paraId="2A775186">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5．投标人参加政府采购的条件</w:t>
      </w:r>
    </w:p>
    <w:p w14:paraId="472BC34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5.1投标人应在投标前到</w:t>
      </w:r>
      <w:r>
        <w:rPr>
          <w:rFonts w:hint="eastAsia" w:asciiTheme="majorEastAsia" w:hAnsiTheme="majorEastAsia" w:eastAsiaTheme="majorEastAsia"/>
          <w:b/>
          <w:bCs/>
          <w:szCs w:val="21"/>
        </w:rPr>
        <w:t>深圳公共资源交易中心（具体在深圳交易集团有限公司政府采购业务分公司进行办理）</w:t>
      </w:r>
      <w:r>
        <w:rPr>
          <w:rFonts w:hint="eastAsia" w:asciiTheme="majorEastAsia" w:hAnsiTheme="majorEastAsia" w:eastAsiaTheme="majorEastAsia"/>
          <w:szCs w:val="21"/>
        </w:rPr>
        <w:t>进行注册并办理电子密钥。《</w:t>
      </w:r>
      <w:r>
        <w:fldChar w:fldCharType="begin"/>
      </w:r>
      <w:r>
        <w:instrText xml:space="preserve"> HYPERLINK "http://www.szzfcg.cn/viewer.do?id=2455258" \t "documentViewer2455258" </w:instrText>
      </w:r>
      <w:r>
        <w:fldChar w:fldCharType="separate"/>
      </w:r>
      <w:r>
        <w:rPr>
          <w:rFonts w:asciiTheme="majorEastAsia" w:hAnsiTheme="majorEastAsia" w:eastAsiaTheme="majorEastAsia"/>
          <w:szCs w:val="21"/>
        </w:rPr>
        <w:t>供应商注册及电子密钥新申请指引</w:t>
      </w:r>
      <w:r>
        <w:rPr>
          <w:rFonts w:asciiTheme="majorEastAsia" w:hAnsiTheme="majorEastAsia" w:eastAsiaTheme="majorEastAsia"/>
          <w:szCs w:val="21"/>
        </w:rPr>
        <w:fldChar w:fldCharType="end"/>
      </w:r>
      <w:r>
        <w:rPr>
          <w:rFonts w:hint="eastAsia" w:asciiTheme="majorEastAsia" w:hAnsiTheme="majorEastAsia" w:eastAsiaTheme="majorEastAsia"/>
          <w:szCs w:val="21"/>
        </w:rPr>
        <w:t>》详见</w:t>
      </w:r>
      <w:r>
        <w:rPr>
          <w:rFonts w:asciiTheme="majorEastAsia" w:hAnsiTheme="majorEastAsia" w:eastAsiaTheme="majorEastAsia"/>
          <w:szCs w:val="21"/>
        </w:rPr>
        <w:t>http://zfcg.szggzy.com/</w:t>
      </w:r>
      <w:r>
        <w:rPr>
          <w:rFonts w:hint="eastAsia" w:asciiTheme="majorEastAsia" w:hAnsiTheme="majorEastAsia" w:eastAsiaTheme="majorEastAsia"/>
          <w:szCs w:val="21"/>
        </w:rPr>
        <w:t>。</w:t>
      </w:r>
    </w:p>
    <w:p w14:paraId="1418B6D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5.2投标人资格要求</w:t>
      </w:r>
    </w:p>
    <w:p w14:paraId="11E3759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参加本项目的投标人应具备的资格条件详见本项目招标公告中 “投标人资格要求”（即申请人的资格要求）的内容。</w:t>
      </w:r>
    </w:p>
    <w:p w14:paraId="760597D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5.3联合体投标</w:t>
      </w:r>
    </w:p>
    <w:p w14:paraId="6408761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5.3.1　以下有关联合体投标的条款仅适用于允许投标人组成联合体投标的项目。</w:t>
      </w:r>
    </w:p>
    <w:p w14:paraId="2A3E536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5.3.2  由两个或两个以上的自然人、法人或者其他组织可以组成一个联合体，以一个供应商的身份共同投标时，应符合以下原则：</w:t>
      </w:r>
    </w:p>
    <w:p w14:paraId="7686A0C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（1）投标联合体各方参加政府采购活动应当具备下列条件：</w:t>
      </w:r>
    </w:p>
    <w:p w14:paraId="534F13A7">
      <w:pPr>
        <w:spacing w:line="360" w:lineRule="auto"/>
        <w:ind w:left="420" w:leftChars="200" w:firstLine="411" w:firstLineChars="196"/>
        <w:rPr>
          <w:rFonts w:asciiTheme="majorEastAsia" w:hAnsiTheme="majorEastAsia" w:eastAsiaTheme="majorEastAsia"/>
          <w:szCs w:val="21"/>
        </w:rPr>
      </w:pPr>
      <w:r>
        <w:rPr>
          <w:rFonts w:hint="eastAsia" w:asciiTheme="majorEastAsia" w:hAnsiTheme="majorEastAsia" w:eastAsiaTheme="majorEastAsia"/>
          <w:szCs w:val="21"/>
        </w:rPr>
        <w:t>1、具有独立承担民事责任的能力；</w:t>
      </w:r>
    </w:p>
    <w:p w14:paraId="1EF741EB">
      <w:pPr>
        <w:spacing w:line="360" w:lineRule="auto"/>
        <w:ind w:left="420" w:firstLine="411" w:firstLineChars="196"/>
        <w:rPr>
          <w:rFonts w:asciiTheme="majorEastAsia" w:hAnsiTheme="majorEastAsia" w:eastAsiaTheme="majorEastAsia"/>
          <w:szCs w:val="21"/>
        </w:rPr>
      </w:pPr>
      <w:r>
        <w:rPr>
          <w:rFonts w:hint="eastAsia" w:asciiTheme="majorEastAsia" w:hAnsiTheme="majorEastAsia" w:eastAsiaTheme="majorEastAsia"/>
          <w:szCs w:val="21"/>
        </w:rPr>
        <w:t>2、有良好的商业信誉和健全的财务会计制度；</w:t>
      </w:r>
    </w:p>
    <w:p w14:paraId="7B9A4DF8">
      <w:pPr>
        <w:spacing w:line="360" w:lineRule="auto"/>
        <w:ind w:left="420" w:leftChars="200" w:firstLine="411" w:firstLineChars="196"/>
        <w:rPr>
          <w:rFonts w:asciiTheme="majorEastAsia" w:hAnsiTheme="majorEastAsia" w:eastAsiaTheme="majorEastAsia"/>
          <w:szCs w:val="21"/>
        </w:rPr>
      </w:pPr>
      <w:r>
        <w:rPr>
          <w:rFonts w:hint="eastAsia" w:asciiTheme="majorEastAsia" w:hAnsiTheme="majorEastAsia" w:eastAsiaTheme="majorEastAsia"/>
          <w:szCs w:val="21"/>
        </w:rPr>
        <w:t>3、具有履行合同所必需的设备和专业技术能力；</w:t>
      </w:r>
    </w:p>
    <w:p w14:paraId="38550360">
      <w:pPr>
        <w:spacing w:line="360" w:lineRule="auto"/>
        <w:ind w:left="420" w:leftChars="200" w:firstLine="411" w:firstLineChars="196"/>
        <w:rPr>
          <w:rFonts w:asciiTheme="majorEastAsia" w:hAnsiTheme="majorEastAsia" w:eastAsiaTheme="majorEastAsia"/>
          <w:szCs w:val="21"/>
        </w:rPr>
      </w:pPr>
      <w:r>
        <w:rPr>
          <w:rFonts w:hint="eastAsia" w:asciiTheme="majorEastAsia" w:hAnsiTheme="majorEastAsia" w:eastAsiaTheme="majorEastAsia"/>
          <w:szCs w:val="21"/>
        </w:rPr>
        <w:t>4、有依法缴纳税收和社会保障资金的良好记录；</w:t>
      </w:r>
    </w:p>
    <w:p w14:paraId="12561F2C">
      <w:pPr>
        <w:spacing w:line="360" w:lineRule="auto"/>
        <w:ind w:left="420" w:leftChars="200" w:firstLine="411" w:firstLineChars="196"/>
        <w:rPr>
          <w:rFonts w:asciiTheme="majorEastAsia" w:hAnsiTheme="majorEastAsia" w:eastAsiaTheme="majorEastAsia"/>
          <w:szCs w:val="21"/>
        </w:rPr>
      </w:pPr>
      <w:r>
        <w:rPr>
          <w:rFonts w:hint="eastAsia" w:asciiTheme="majorEastAsia" w:hAnsiTheme="majorEastAsia" w:eastAsiaTheme="majorEastAsia"/>
          <w:szCs w:val="21"/>
        </w:rPr>
        <w:t>5、参加政府采购活动前三年内，在经营活动中没有重大违法记录；</w:t>
      </w:r>
    </w:p>
    <w:p w14:paraId="007C67A7">
      <w:pPr>
        <w:spacing w:line="360" w:lineRule="auto"/>
        <w:ind w:left="420" w:leftChars="200" w:firstLine="411" w:firstLineChars="196"/>
        <w:rPr>
          <w:rFonts w:asciiTheme="majorEastAsia" w:hAnsiTheme="majorEastAsia" w:eastAsiaTheme="majorEastAsia"/>
          <w:szCs w:val="21"/>
        </w:rPr>
      </w:pPr>
      <w:r>
        <w:rPr>
          <w:rFonts w:hint="eastAsia" w:asciiTheme="majorEastAsia" w:hAnsiTheme="majorEastAsia" w:eastAsiaTheme="majorEastAsia"/>
          <w:szCs w:val="21"/>
        </w:rPr>
        <w:t>6、法律、行政法规规定的其他条件。</w:t>
      </w:r>
    </w:p>
    <w:p w14:paraId="3092329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（2）联合体中有同类资质的供应商按照联合体分工承担相同工作的，应当按照资质等级较低的供应商确定资质等级；</w:t>
      </w:r>
    </w:p>
    <w:p w14:paraId="2276C27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（3）是否允许联合体参加投标，应当由采购人和采购代理机构根据项目的实际情况和潜在供应商的数量自主决定，如果决定接受联合体投标则应当在招标公告中明示；</w:t>
      </w:r>
    </w:p>
    <w:p w14:paraId="5137FE6F">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（4）投标人的投标文件及中标后签署的合同协议对联合体各方均具法律约束力；</w:t>
      </w:r>
    </w:p>
    <w:p w14:paraId="7658EFB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（5）联合体各方应当签订联合体投标协议，明确约定各方拟承担的工作和责任，并将该协议随投标文件一并递交给采购代理机构；</w:t>
      </w:r>
    </w:p>
    <w:p w14:paraId="0D3C792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（6）联合体中标后，联合体各方应当共同与采购人签订合同，就中标项目向采购人承担连带责任；</w:t>
      </w:r>
    </w:p>
    <w:p w14:paraId="7952A8E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7）以联合体形式参加政府采购活动的，联合体各方不得再单独参加或者与其他供应商另外组成联合体参加同一合同项下的政府采购活动，出现上述情况者，其投标和与此有关联合体、总包单位的投标将被拒绝；</w:t>
      </w:r>
    </w:p>
    <w:p w14:paraId="3231E077">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（8）本通用条款中“投标人”一词亦指联合体各方，专用条款另有规定或说明的除外。</w:t>
      </w:r>
    </w:p>
    <w:p w14:paraId="04015973">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6．政策导向</w:t>
      </w:r>
    </w:p>
    <w:p w14:paraId="623D11A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6.1政府采购扶持贫困地区、中小企业、监狱企业和残疾人福利性单位发展，支持节能减排、环境保护。</w:t>
      </w:r>
    </w:p>
    <w:p w14:paraId="45D814B2">
      <w:pPr>
        <w:spacing w:line="360" w:lineRule="auto"/>
        <w:ind w:firstLine="405"/>
        <w:rPr>
          <w:rFonts w:asciiTheme="majorEastAsia" w:hAnsiTheme="majorEastAsia" w:eastAsiaTheme="majorEastAsia"/>
          <w:szCs w:val="21"/>
          <w:shd w:val="clear" w:color="auto" w:fill="FFFFFF"/>
        </w:rPr>
      </w:pPr>
      <w:r>
        <w:rPr>
          <w:rFonts w:hint="eastAsia" w:asciiTheme="majorEastAsia" w:hAnsiTheme="majorEastAsia" w:eastAsiaTheme="majorEastAsia"/>
          <w:szCs w:val="21"/>
        </w:rPr>
        <w:t>6.2本项目落实深圳市政府采购供应商诚信管理政策要求。</w:t>
      </w:r>
    </w:p>
    <w:p w14:paraId="6A79956E">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7. 本项目若涉及采购货物，则合格的货物及相应服务应满足以下要求：</w:t>
      </w:r>
    </w:p>
    <w:p w14:paraId="68873E3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7</w:t>
      </w:r>
      <w:r>
        <w:rPr>
          <w:rFonts w:asciiTheme="majorEastAsia" w:hAnsiTheme="majorEastAsia" w:eastAsiaTheme="majorEastAsia"/>
          <w:szCs w:val="21"/>
        </w:rPr>
        <w:t xml:space="preserve">.1  </w:t>
      </w:r>
      <w:r>
        <w:rPr>
          <w:rFonts w:hint="eastAsia" w:asciiTheme="majorEastAsia" w:hAnsiTheme="majorEastAsia" w:eastAsiaTheme="majorEastAsia"/>
          <w:szCs w:val="21"/>
        </w:rPr>
        <w:t>必须是全新、未使用过的原装合格正品（包括零部件），如安装或配置了软件的，须为正版软件。</w:t>
      </w:r>
    </w:p>
    <w:p w14:paraId="11E76C9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7.2  国产的货物及其有关服务必须符合中华人民共和国的设计、制造生产标准及行业标准。招标公告有其他要求的，亦应符合其要求。</w:t>
      </w:r>
    </w:p>
    <w:p w14:paraId="3AF30FA6">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7</w:t>
      </w:r>
      <w:r>
        <w:rPr>
          <w:rFonts w:asciiTheme="majorEastAsia" w:hAnsiTheme="majorEastAsia" w:eastAsiaTheme="majorEastAsia"/>
          <w:szCs w:val="21"/>
        </w:rPr>
        <w:t>.</w:t>
      </w:r>
      <w:r>
        <w:rPr>
          <w:rFonts w:hint="eastAsia" w:asciiTheme="majorEastAsia" w:hAnsiTheme="majorEastAsia" w:eastAsiaTheme="majorEastAsia"/>
          <w:szCs w:val="21"/>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FB0D07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7</w:t>
      </w:r>
      <w:r>
        <w:rPr>
          <w:rFonts w:asciiTheme="majorEastAsia" w:hAnsiTheme="majorEastAsia" w:eastAsiaTheme="majorEastAsia"/>
          <w:szCs w:val="21"/>
        </w:rPr>
        <w:t>.</w:t>
      </w:r>
      <w:r>
        <w:rPr>
          <w:rFonts w:hint="eastAsia" w:asciiTheme="majorEastAsia" w:hAnsiTheme="majorEastAsia" w:eastAsiaTheme="majorEastAsia"/>
          <w:szCs w:val="21"/>
        </w:rPr>
        <w:t>4投标人</w:t>
      </w:r>
      <w:bookmarkStart w:id="31" w:name="_Hlk72152753"/>
      <w:r>
        <w:rPr>
          <w:rFonts w:hint="eastAsia" w:asciiTheme="majorEastAsia" w:hAnsiTheme="majorEastAsia" w:eastAsiaTheme="majorEastAsia"/>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31"/>
    </w:p>
    <w:p w14:paraId="181E4E5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6C510A3E">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7.6  工期要求：投标人在投标时对其所投项目应提交交货进度、交货计划等，在合同规定的时间内完成项目实施工作。</w:t>
      </w:r>
    </w:p>
    <w:p w14:paraId="418242B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7.7  投标人必须承担的设备运输、安装调试、验收检测和提供设备操作说明书、图纸等其他相关及类似的义务。</w:t>
      </w:r>
    </w:p>
    <w:p w14:paraId="6E2F8249">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8．投标费用</w:t>
      </w:r>
    </w:p>
    <w:p w14:paraId="4C71E45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不论投标结果如何，投标人应承担其编制投标文件与递交投标文件所涉及的一切费用。</w:t>
      </w:r>
    </w:p>
    <w:p w14:paraId="2DE762CE">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9．踏勘现场</w:t>
      </w:r>
    </w:p>
    <w:p w14:paraId="0153AFB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9.1如有需要（详见专用条款），采购人或采购代理机构将组织投标人对项目现场及周围环境进行踏勘，以便投标人获取有关编制投标文件和签署合同所需的资料。踏勘现场所发生的费用由投标人自行承担。投标人应按招标文件所约定的时间、地点踏勘现场。</w:t>
      </w:r>
    </w:p>
    <w:p w14:paraId="69EB6C6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9.2投标人及其人员经过采购人的允许，可以进入采购人的项目现场踏勘。若招标文件要求投标人于统一时间地点踏勘现场的，投标人应当按时前往。</w:t>
      </w:r>
    </w:p>
    <w:p w14:paraId="174F18B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9.3采购人应当通过采购代理机构向投标人提供有关现场的书面资料和数据。</w:t>
      </w:r>
    </w:p>
    <w:p w14:paraId="15B1909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9.4任何人或任何组织在踏勘现场时向投标人提供的任何书面资料或口头承诺，未经采购代理机构在网上发布或书面通知，均作无效处理。</w:t>
      </w:r>
    </w:p>
    <w:p w14:paraId="0EEBA2B1">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9</w:t>
      </w:r>
      <w:r>
        <w:rPr>
          <w:rFonts w:hint="eastAsia" w:asciiTheme="majorEastAsia" w:hAnsiTheme="majorEastAsia" w:eastAsiaTheme="majorEastAsia"/>
          <w:szCs w:val="21"/>
        </w:rPr>
        <w:t>.</w:t>
      </w:r>
      <w:r>
        <w:rPr>
          <w:rFonts w:asciiTheme="majorEastAsia" w:hAnsiTheme="majorEastAsia" w:eastAsiaTheme="majorEastAsia"/>
          <w:szCs w:val="21"/>
        </w:rPr>
        <w:t>5</w:t>
      </w:r>
      <w:r>
        <w:rPr>
          <w:rFonts w:hint="eastAsia" w:asciiTheme="majorEastAsia" w:hAnsiTheme="majorEastAsia" w:eastAsiaTheme="majorEastAsia"/>
          <w:szCs w:val="21"/>
        </w:rPr>
        <w:t>未参与踏勘现场不作为否定投标人资格的理由。</w:t>
      </w:r>
    </w:p>
    <w:p w14:paraId="0615F221">
      <w:pPr>
        <w:spacing w:line="360" w:lineRule="auto"/>
        <w:outlineLvl w:val="1"/>
        <w:rPr>
          <w:rFonts w:asciiTheme="majorEastAsia" w:hAnsiTheme="majorEastAsia" w:eastAsiaTheme="majorEastAsia"/>
          <w:b/>
          <w:bCs/>
          <w:szCs w:val="21"/>
        </w:rPr>
      </w:pPr>
      <w:r>
        <w:rPr>
          <w:rFonts w:hint="eastAsia" w:asciiTheme="majorEastAsia" w:hAnsiTheme="majorEastAsia" w:eastAsiaTheme="majorEastAsia"/>
          <w:b/>
          <w:bCs/>
          <w:szCs w:val="21"/>
        </w:rPr>
        <w:t>1</w:t>
      </w:r>
      <w:r>
        <w:rPr>
          <w:rFonts w:asciiTheme="majorEastAsia" w:hAnsiTheme="majorEastAsia" w:eastAsiaTheme="majorEastAsia"/>
          <w:b/>
          <w:bCs/>
          <w:szCs w:val="21"/>
        </w:rPr>
        <w:t>0</w:t>
      </w:r>
      <w:r>
        <w:rPr>
          <w:rFonts w:hint="eastAsia" w:asciiTheme="majorEastAsia" w:hAnsiTheme="majorEastAsia" w:eastAsiaTheme="majorEastAsia"/>
          <w:b/>
          <w:bCs/>
          <w:szCs w:val="21"/>
        </w:rPr>
        <w:t>．标前会议</w:t>
      </w:r>
    </w:p>
    <w:p w14:paraId="5529E46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0</w:t>
      </w:r>
      <w:r>
        <w:rPr>
          <w:rFonts w:hint="eastAsia" w:asciiTheme="majorEastAsia" w:hAnsiTheme="majorEastAsia" w:eastAsiaTheme="majorEastAsia"/>
          <w:szCs w:val="21"/>
        </w:rPr>
        <w:t>.</w:t>
      </w:r>
      <w:r>
        <w:rPr>
          <w:rFonts w:asciiTheme="majorEastAsia" w:hAnsiTheme="majorEastAsia" w:eastAsiaTheme="majorEastAsia"/>
          <w:szCs w:val="21"/>
        </w:rPr>
        <w:t>1</w:t>
      </w:r>
      <w:r>
        <w:rPr>
          <w:rFonts w:hint="eastAsia" w:asciiTheme="majorEastAsia" w:hAnsiTheme="majorEastAsia" w:eastAsiaTheme="majorEastAsia"/>
          <w:szCs w:val="21"/>
        </w:rPr>
        <w:t>如采购人或采购代理机构认为有必要组织标前会议，投标人应按照招标文件规定的时间或采购代理机构另行书面通知（包括采购代理机构网站发布方式，如更正公告等）的时间和地点，参与标前会议。</w:t>
      </w:r>
    </w:p>
    <w:p w14:paraId="51B05AD2">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10</w:t>
      </w:r>
      <w:r>
        <w:rPr>
          <w:rFonts w:hint="eastAsia" w:asciiTheme="majorEastAsia" w:hAnsiTheme="majorEastAsia" w:eastAsiaTheme="majorEastAsia"/>
          <w:szCs w:val="21"/>
        </w:rPr>
        <w:t>.</w:t>
      </w:r>
      <w:r>
        <w:rPr>
          <w:rFonts w:asciiTheme="majorEastAsia" w:hAnsiTheme="majorEastAsia" w:eastAsiaTheme="majorEastAsia"/>
          <w:szCs w:val="21"/>
        </w:rPr>
        <w:t>2</w:t>
      </w:r>
      <w:r>
        <w:rPr>
          <w:rFonts w:hint="eastAsia" w:asciiTheme="majorEastAsia" w:hAnsiTheme="majorEastAsia" w:eastAsiaTheme="majorEastAsia"/>
          <w:szCs w:val="21"/>
        </w:rPr>
        <w:t>任何人或任何组织在标前会议时向投标人提供的任何书面资料或口头承诺，未经采购代理机构在网上发布或书面通知，均作无效处理。</w:t>
      </w:r>
    </w:p>
    <w:p w14:paraId="24CF1D7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0</w:t>
      </w:r>
      <w:r>
        <w:rPr>
          <w:rFonts w:hint="eastAsia" w:asciiTheme="majorEastAsia" w:hAnsiTheme="majorEastAsia" w:eastAsiaTheme="majorEastAsia"/>
          <w:szCs w:val="21"/>
        </w:rPr>
        <w:t>.</w:t>
      </w:r>
      <w:r>
        <w:rPr>
          <w:rFonts w:asciiTheme="majorEastAsia" w:hAnsiTheme="majorEastAsia" w:eastAsiaTheme="majorEastAsia"/>
          <w:szCs w:val="21"/>
        </w:rPr>
        <w:t>3</w:t>
      </w:r>
      <w:r>
        <w:rPr>
          <w:rFonts w:hint="eastAsia" w:asciiTheme="majorEastAsia" w:hAnsiTheme="majorEastAsia" w:eastAsiaTheme="majorEastAsia"/>
          <w:szCs w:val="21"/>
        </w:rPr>
        <w:t>未参与标前会议不作为否定投标人资格的理由。</w:t>
      </w:r>
    </w:p>
    <w:bookmarkEnd w:id="30"/>
    <w:p w14:paraId="32F9EB0E">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r>
        <w:rPr>
          <w:rFonts w:hint="eastAsia" w:asciiTheme="majorEastAsia" w:hAnsiTheme="majorEastAsia" w:eastAsiaTheme="majorEastAsia"/>
          <w:b/>
          <w:bCs/>
          <w:kern w:val="0"/>
          <w:sz w:val="28"/>
          <w:szCs w:val="28"/>
        </w:rPr>
        <w:t>招标文件</w:t>
      </w:r>
    </w:p>
    <w:p w14:paraId="16468F77">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1</w:t>
      </w:r>
      <w:r>
        <w:rPr>
          <w:rFonts w:asciiTheme="majorEastAsia" w:hAnsiTheme="majorEastAsia" w:eastAsiaTheme="majorEastAsia"/>
          <w:b/>
          <w:bCs/>
          <w:szCs w:val="21"/>
        </w:rPr>
        <w:t>1</w:t>
      </w:r>
      <w:r>
        <w:rPr>
          <w:rFonts w:hint="eastAsia" w:asciiTheme="majorEastAsia" w:hAnsiTheme="majorEastAsia" w:eastAsiaTheme="majorEastAsia"/>
          <w:b/>
          <w:bCs/>
          <w:szCs w:val="21"/>
        </w:rPr>
        <w:t>．</w:t>
      </w:r>
      <w:bookmarkStart w:id="32" w:name="_Hlk72399819"/>
      <w:r>
        <w:rPr>
          <w:rFonts w:hint="eastAsia" w:asciiTheme="majorEastAsia" w:hAnsiTheme="majorEastAsia" w:eastAsiaTheme="majorEastAsia"/>
          <w:b/>
          <w:bCs/>
          <w:szCs w:val="21"/>
        </w:rPr>
        <w:t>招标文件的编制与组成</w:t>
      </w:r>
    </w:p>
    <w:p w14:paraId="77C9F440">
      <w:pPr>
        <w:snapToGrid w:val="0"/>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1</w:t>
      </w:r>
      <w:r>
        <w:rPr>
          <w:rFonts w:hint="eastAsia" w:asciiTheme="majorEastAsia" w:hAnsiTheme="majorEastAsia" w:eastAsiaTheme="majorEastAsia"/>
          <w:szCs w:val="21"/>
        </w:rPr>
        <w:t>.1招标文件除以下内容外，采购代理机构在招标期间发出的澄清或修改等相关公告或通知内容，均是招标文件的组成部分，对投标人起约束作用；</w:t>
      </w:r>
    </w:p>
    <w:p w14:paraId="0197A4B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招标文件包括下列内容：</w:t>
      </w:r>
    </w:p>
    <w:p w14:paraId="38018775">
      <w:pPr>
        <w:spacing w:line="360" w:lineRule="auto"/>
        <w:ind w:left="420" w:leftChars="200" w:firstLine="413" w:firstLineChars="196"/>
        <w:rPr>
          <w:rFonts w:asciiTheme="majorEastAsia" w:hAnsiTheme="majorEastAsia" w:eastAsiaTheme="majorEastAsia"/>
          <w:b/>
          <w:szCs w:val="21"/>
        </w:rPr>
      </w:pPr>
      <w:r>
        <w:rPr>
          <w:rFonts w:hint="eastAsia" w:asciiTheme="majorEastAsia" w:hAnsiTheme="majorEastAsia" w:eastAsiaTheme="majorEastAsia"/>
          <w:b/>
          <w:szCs w:val="21"/>
        </w:rPr>
        <w:t>第一册  专用条款</w:t>
      </w:r>
    </w:p>
    <w:p w14:paraId="0583A2E0">
      <w:pPr>
        <w:spacing w:line="360" w:lineRule="auto"/>
        <w:ind w:left="1079" w:leftChars="514"/>
        <w:rPr>
          <w:rFonts w:asciiTheme="majorEastAsia" w:hAnsiTheme="majorEastAsia" w:eastAsiaTheme="majorEastAsia"/>
          <w:b/>
          <w:szCs w:val="21"/>
        </w:rPr>
      </w:pPr>
      <w:r>
        <w:rPr>
          <w:rFonts w:hint="eastAsia" w:asciiTheme="majorEastAsia" w:hAnsiTheme="majorEastAsia" w:eastAsiaTheme="majorEastAsia"/>
          <w:b/>
          <w:szCs w:val="21"/>
        </w:rPr>
        <w:t>关键信息</w:t>
      </w:r>
    </w:p>
    <w:p w14:paraId="1285C2AC">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第一章  招标公告</w:t>
      </w:r>
    </w:p>
    <w:p w14:paraId="328574C5">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第二章  对通用条款的补充内容及其他关键信息</w:t>
      </w:r>
    </w:p>
    <w:p w14:paraId="296EE83E">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第三章  用户需求书</w:t>
      </w:r>
    </w:p>
    <w:p w14:paraId="680FBD98">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第四章  投标文件格式及附件</w:t>
      </w:r>
    </w:p>
    <w:p w14:paraId="34D7EC83">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第五章  合同条款及格式</w:t>
      </w:r>
    </w:p>
    <w:p w14:paraId="7E2C5687">
      <w:pPr>
        <w:spacing w:line="360" w:lineRule="auto"/>
        <w:ind w:left="420" w:leftChars="200" w:firstLine="413" w:firstLineChars="196"/>
        <w:outlineLvl w:val="0"/>
        <w:rPr>
          <w:rFonts w:asciiTheme="majorEastAsia" w:hAnsiTheme="majorEastAsia" w:eastAsiaTheme="majorEastAsia"/>
          <w:b/>
          <w:szCs w:val="21"/>
        </w:rPr>
      </w:pPr>
      <w:r>
        <w:rPr>
          <w:rFonts w:hint="eastAsia" w:asciiTheme="majorEastAsia" w:hAnsiTheme="majorEastAsia" w:eastAsiaTheme="majorEastAsia"/>
          <w:b/>
          <w:szCs w:val="21"/>
        </w:rPr>
        <w:t>第二册  通用条款</w:t>
      </w:r>
    </w:p>
    <w:p w14:paraId="5A5E7AF5">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第一章  总则</w:t>
      </w:r>
    </w:p>
    <w:p w14:paraId="67BE431E">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第二章  招标文件</w:t>
      </w:r>
    </w:p>
    <w:p w14:paraId="19EFCDEE">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第三章  投标文件的编制</w:t>
      </w:r>
    </w:p>
    <w:p w14:paraId="78CE6A64">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第四章  投标文件的递交</w:t>
      </w:r>
    </w:p>
    <w:p w14:paraId="0A40BDA2">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第五章  开标</w:t>
      </w:r>
    </w:p>
    <w:p w14:paraId="361EA2BF">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第六章  评审要求</w:t>
      </w:r>
    </w:p>
    <w:p w14:paraId="6EBDEA43">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第七章  评审程序及评审方法</w:t>
      </w:r>
    </w:p>
    <w:p w14:paraId="31E78798">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第八章  定标及公示</w:t>
      </w:r>
    </w:p>
    <w:p w14:paraId="54788DD9">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第九章  公开招标失败的后续处理</w:t>
      </w:r>
    </w:p>
    <w:p w14:paraId="2FD191AC">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第十章  合同的授予与备案</w:t>
      </w:r>
    </w:p>
    <w:p w14:paraId="6E6DF412">
      <w:pPr>
        <w:spacing w:line="360" w:lineRule="auto"/>
        <w:ind w:left="630" w:leftChars="300" w:firstLine="411" w:firstLineChars="196"/>
        <w:outlineLvl w:val="0"/>
        <w:rPr>
          <w:rFonts w:asciiTheme="majorEastAsia" w:hAnsiTheme="majorEastAsia" w:eastAsiaTheme="majorEastAsia"/>
          <w:szCs w:val="21"/>
        </w:rPr>
      </w:pPr>
      <w:r>
        <w:rPr>
          <w:rFonts w:hint="eastAsia" w:asciiTheme="majorEastAsia" w:hAnsiTheme="majorEastAsia" w:eastAsiaTheme="majorEastAsia"/>
          <w:szCs w:val="21"/>
        </w:rPr>
        <w:t>第十一章  质疑处理</w:t>
      </w:r>
    </w:p>
    <w:p w14:paraId="4F8ED42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1</w:t>
      </w:r>
      <w:r>
        <w:rPr>
          <w:rFonts w:hint="eastAsia" w:asciiTheme="majorEastAsia" w:hAnsiTheme="majorEastAsia" w:eastAsiaTheme="majorEastAsia"/>
          <w:szCs w:val="21"/>
        </w:rPr>
        <w:t>.2 投标人下载招标文件后，应仔细检查招标文件的所有内容，如有疑问应在答疑截止时间之前向采购代理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6DBAD2D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1</w:t>
      </w:r>
      <w:r>
        <w:rPr>
          <w:rFonts w:hint="eastAsia" w:asciiTheme="majorEastAsia" w:hAnsiTheme="majorEastAsia" w:eastAsiaTheme="majorEastAsia"/>
          <w:szCs w:val="21"/>
        </w:rPr>
        <w:t>.3任何人或任何组织向投标人提交的任何书面或口头资料，未经采购代理机构在网上发布或书面通知，均作无效处理，不得作为招标文件的组成部分。采购代理机构对投标人由此而做出的推论、理解和结论概不负责。</w:t>
      </w:r>
    </w:p>
    <w:p w14:paraId="35539E83">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1</w:t>
      </w:r>
      <w:r>
        <w:rPr>
          <w:rFonts w:asciiTheme="majorEastAsia" w:hAnsiTheme="majorEastAsia" w:eastAsiaTheme="majorEastAsia"/>
          <w:b/>
          <w:bCs/>
          <w:szCs w:val="21"/>
        </w:rPr>
        <w:t>2</w:t>
      </w:r>
      <w:r>
        <w:rPr>
          <w:rFonts w:hint="eastAsia" w:asciiTheme="majorEastAsia" w:hAnsiTheme="majorEastAsia" w:eastAsiaTheme="majorEastAsia"/>
          <w:b/>
          <w:bCs/>
          <w:szCs w:val="21"/>
        </w:rPr>
        <w:t>．招标文件的澄清</w:t>
      </w:r>
    </w:p>
    <w:p w14:paraId="1D62017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2</w:t>
      </w:r>
      <w:r>
        <w:rPr>
          <w:rFonts w:hint="eastAsia" w:asciiTheme="majorEastAsia" w:hAnsiTheme="majorEastAsia" w:eastAsiaTheme="majorEastAsia"/>
          <w:szCs w:val="21"/>
        </w:rPr>
        <w:t>.1招标文件澄清的目的是澄清、解答投标人在查阅招标文件后或现场踏勘中可能提出的与投标有关的疑问或询问。</w:t>
      </w:r>
    </w:p>
    <w:p w14:paraId="3C2B857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2</w:t>
      </w:r>
      <w:r>
        <w:rPr>
          <w:rFonts w:hint="eastAsia" w:asciiTheme="majorEastAsia" w:hAnsiTheme="majorEastAsia" w:eastAsiaTheme="majorEastAsia"/>
          <w:szCs w:val="21"/>
        </w:rPr>
        <w:t>.2投标人如对招标文件内容有疑问，应当在招标公告规定的澄清（提问）截止时间前以网上提问的形式通过网上政府采购系统提交采购代理机构。</w:t>
      </w:r>
    </w:p>
    <w:p w14:paraId="488CBDF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2</w:t>
      </w:r>
      <w:r>
        <w:rPr>
          <w:rFonts w:hint="eastAsia" w:asciiTheme="majorEastAsia" w:hAnsiTheme="majorEastAsia" w:eastAsiaTheme="majorEastAsia"/>
          <w:szCs w:val="21"/>
        </w:rPr>
        <w:t>.3不论是采购代理机构根据需要主动对招标文件进行必要的澄清或是根据投标人的要求对招标文件做出澄清，采购代理机构都将在投标截止日期前以书面形式（包括采购代理机构网站发布方式）答复或发送给所有投标人。答复内容是招标文件的组成部分，对投标人起约束作用，其有效性按照本通用条款第1</w:t>
      </w:r>
      <w:r>
        <w:rPr>
          <w:rFonts w:asciiTheme="majorEastAsia" w:hAnsiTheme="majorEastAsia" w:eastAsiaTheme="majorEastAsia"/>
          <w:szCs w:val="21"/>
        </w:rPr>
        <w:t>3.3</w:t>
      </w:r>
      <w:r>
        <w:rPr>
          <w:rFonts w:hint="eastAsia" w:asciiTheme="majorEastAsia" w:hAnsiTheme="majorEastAsia" w:eastAsiaTheme="majorEastAsia"/>
          <w:szCs w:val="21"/>
        </w:rPr>
        <w:t>、1</w:t>
      </w:r>
      <w:r>
        <w:rPr>
          <w:rFonts w:asciiTheme="majorEastAsia" w:hAnsiTheme="majorEastAsia" w:eastAsiaTheme="majorEastAsia"/>
          <w:szCs w:val="21"/>
        </w:rPr>
        <w:t>3.4</w:t>
      </w:r>
      <w:r>
        <w:rPr>
          <w:rFonts w:hint="eastAsia" w:asciiTheme="majorEastAsia" w:hAnsiTheme="majorEastAsia" w:eastAsiaTheme="majorEastAsia"/>
          <w:szCs w:val="21"/>
        </w:rPr>
        <w:t>款规定执行。</w:t>
      </w:r>
    </w:p>
    <w:p w14:paraId="5C41DBC5">
      <w:pPr>
        <w:spacing w:line="360" w:lineRule="auto"/>
        <w:rPr>
          <w:rFonts w:asciiTheme="majorEastAsia" w:hAnsiTheme="majorEastAsia" w:eastAsiaTheme="majorEastAsia"/>
          <w:b/>
          <w:bCs/>
          <w:szCs w:val="21"/>
        </w:rPr>
      </w:pPr>
      <w:r>
        <w:rPr>
          <w:rFonts w:asciiTheme="majorEastAsia" w:hAnsiTheme="majorEastAsia" w:eastAsiaTheme="majorEastAsia"/>
          <w:b/>
          <w:bCs/>
          <w:szCs w:val="21"/>
        </w:rPr>
        <w:t>1</w:t>
      </w:r>
      <w:r>
        <w:rPr>
          <w:rFonts w:hint="eastAsia" w:asciiTheme="majorEastAsia" w:hAnsiTheme="majorEastAsia" w:eastAsiaTheme="majorEastAsia"/>
          <w:b/>
          <w:bCs/>
          <w:szCs w:val="21"/>
        </w:rPr>
        <w:t>3．招标文件的修改</w:t>
      </w:r>
    </w:p>
    <w:p w14:paraId="6380C284">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1</w:t>
      </w:r>
      <w:r>
        <w:rPr>
          <w:rFonts w:hint="eastAsia" w:asciiTheme="majorEastAsia" w:hAnsiTheme="majorEastAsia" w:eastAsiaTheme="majorEastAsia"/>
          <w:szCs w:val="21"/>
        </w:rPr>
        <w:t>3.1招标文件发出后，在投标截止日期前任何时候，确需要变更招标文件内容的，采购代理机构可主动或在解答投标人提出的澄清问题时对招标文件进行修改。</w:t>
      </w:r>
    </w:p>
    <w:p w14:paraId="4BA7D559">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1</w:t>
      </w:r>
      <w:r>
        <w:rPr>
          <w:rFonts w:hint="eastAsia" w:asciiTheme="majorEastAsia" w:hAnsiTheme="majorEastAsia" w:eastAsiaTheme="majorEastAsia"/>
          <w:szCs w:val="21"/>
        </w:rPr>
        <w:t>3.2招标文件的修改以书面形式（包括采购代理机构网站发布方式，如更正公告等）发送给所有投标人，招标文件的修改内容作为招标文件的组成部分，并具有约束力。</w:t>
      </w:r>
    </w:p>
    <w:p w14:paraId="3AAD4FCA">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1</w:t>
      </w:r>
      <w:r>
        <w:rPr>
          <w:rFonts w:hint="eastAsia" w:asciiTheme="majorEastAsia" w:hAnsiTheme="majorEastAsia" w:eastAsiaTheme="majorEastAsia"/>
          <w:szCs w:val="21"/>
        </w:rPr>
        <w:t>3.3招标文件、招标文件澄清答复内容、招标文件修改补充内容均以书面形式（包括采购代理机构网站公开发布方式，如更正公告等）明确的内容为准。当招标文件、修改补充通知、招标文件澄清答复内容相互矛盾时，以最后发出的内容为准。</w:t>
      </w:r>
    </w:p>
    <w:p w14:paraId="32B8D51D">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1</w:t>
      </w:r>
      <w:r>
        <w:rPr>
          <w:rFonts w:hint="eastAsia" w:asciiTheme="majorEastAsia" w:hAnsiTheme="majorEastAsia" w:eastAsiaTheme="majorEastAsia"/>
          <w:szCs w:val="21"/>
        </w:rPr>
        <w:t>3.4采购代理机构保证招标文件澄清答复内容和招标文件修改补充内容在投标截止时间前以书面形式（包括采购代理机构网站发布方式，如更正公告等）发送给所有投标人。为使投标人在编制投标文件时有充分时间对招标文件的修改部分进行研究，采购代理机构可以酌情延长递交投标文件的截止日期。</w:t>
      </w:r>
      <w:bookmarkEnd w:id="32"/>
    </w:p>
    <w:p w14:paraId="4C5255D9">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r>
        <w:rPr>
          <w:rFonts w:hint="eastAsia" w:asciiTheme="majorEastAsia" w:hAnsiTheme="majorEastAsia" w:eastAsiaTheme="majorEastAsia"/>
          <w:b/>
          <w:bCs/>
          <w:kern w:val="0"/>
          <w:sz w:val="28"/>
          <w:szCs w:val="28"/>
        </w:rPr>
        <w:t>投标文件的编制</w:t>
      </w:r>
    </w:p>
    <w:p w14:paraId="45D06EDA">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14．</w:t>
      </w:r>
      <w:bookmarkStart w:id="33" w:name="_Hlk72400236"/>
      <w:r>
        <w:rPr>
          <w:rFonts w:hint="eastAsia" w:asciiTheme="majorEastAsia" w:hAnsiTheme="majorEastAsia" w:eastAsiaTheme="majorEastAsia"/>
          <w:b/>
          <w:bCs/>
          <w:szCs w:val="21"/>
        </w:rPr>
        <w:t>投标文件的语言及度量单位</w:t>
      </w:r>
    </w:p>
    <w:p w14:paraId="6BFB621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14.1 投标人与采购代理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2A50834E">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14.2 除技术规范另有规定外，投标文件使用的度量单位，均采用中华人民共和国法定计量单位。</w:t>
      </w:r>
    </w:p>
    <w:bookmarkEnd w:id="33"/>
    <w:p w14:paraId="4F52B09E">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15．</w:t>
      </w:r>
      <w:bookmarkStart w:id="34" w:name="_Hlk72401567"/>
      <w:r>
        <w:rPr>
          <w:rFonts w:hint="eastAsia" w:asciiTheme="majorEastAsia" w:hAnsiTheme="majorEastAsia" w:eastAsiaTheme="majorEastAsia"/>
          <w:b/>
          <w:bCs/>
          <w:szCs w:val="21"/>
        </w:rPr>
        <w:t>投标文件的组成</w:t>
      </w:r>
    </w:p>
    <w:p w14:paraId="4236594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具体内容在招标文件专用条款中进行规定。</w:t>
      </w:r>
    </w:p>
    <w:p w14:paraId="387B4797">
      <w:pPr>
        <w:spacing w:line="360" w:lineRule="auto"/>
        <w:rPr>
          <w:rFonts w:asciiTheme="majorEastAsia" w:hAnsiTheme="majorEastAsia" w:eastAsiaTheme="majorEastAsia"/>
          <w:b/>
          <w:bCs/>
          <w:szCs w:val="21"/>
        </w:rPr>
      </w:pPr>
      <w:r>
        <w:rPr>
          <w:rFonts w:asciiTheme="majorEastAsia" w:hAnsiTheme="majorEastAsia" w:eastAsiaTheme="majorEastAsia"/>
          <w:b/>
          <w:bCs/>
          <w:szCs w:val="21"/>
        </w:rPr>
        <w:t>16．投标文件格式</w:t>
      </w:r>
    </w:p>
    <w:p w14:paraId="1F23A68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投标文件包括本通用条款第</w:t>
      </w:r>
      <w:r>
        <w:rPr>
          <w:rFonts w:asciiTheme="majorEastAsia" w:hAnsiTheme="majorEastAsia" w:eastAsiaTheme="majorEastAsia"/>
          <w:szCs w:val="21"/>
        </w:rPr>
        <w:t>15条中规定的内容。如招标文件提供了投标文件格式，则</w:t>
      </w:r>
      <w:r>
        <w:rPr>
          <w:rFonts w:hint="eastAsia" w:asciiTheme="majorEastAsia" w:hAnsiTheme="majorEastAsia" w:eastAsiaTheme="majorEastAsia"/>
          <w:b/>
          <w:bCs/>
          <w:szCs w:val="21"/>
        </w:rPr>
        <w:t>投标人提交的投标文件应使用招标文件所提供的相应格式</w:t>
      </w:r>
      <w:r>
        <w:rPr>
          <w:rFonts w:hint="eastAsia" w:asciiTheme="majorEastAsia" w:hAnsiTheme="majorEastAsia" w:eastAsiaTheme="majorEastAsia"/>
          <w:szCs w:val="21"/>
        </w:rPr>
        <w:t>（表格均可按同样格式扩展）。</w:t>
      </w:r>
    </w:p>
    <w:p w14:paraId="3519CE27">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17．投标货币</w:t>
      </w:r>
    </w:p>
    <w:p w14:paraId="3D06512E">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本项目的投标报价应以人民币计。</w:t>
      </w:r>
    </w:p>
    <w:bookmarkEnd w:id="34"/>
    <w:p w14:paraId="25897ED7">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18．</w:t>
      </w:r>
      <w:bookmarkStart w:id="35" w:name="_Hlk72401735"/>
      <w:r>
        <w:rPr>
          <w:rFonts w:hint="eastAsia" w:asciiTheme="majorEastAsia" w:hAnsiTheme="majorEastAsia" w:eastAsiaTheme="majorEastAsia"/>
          <w:b/>
          <w:bCs/>
          <w:szCs w:val="21"/>
        </w:rPr>
        <w:t>证明投标文件投标技术方案的合格性和符合招标文件规定的文件要求</w:t>
      </w:r>
    </w:p>
    <w:p w14:paraId="5F99461E">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18</w:t>
      </w:r>
      <w:r>
        <w:rPr>
          <w:rFonts w:asciiTheme="majorEastAsia" w:hAnsiTheme="majorEastAsia" w:eastAsiaTheme="majorEastAsia"/>
          <w:szCs w:val="21"/>
        </w:rPr>
        <w:t xml:space="preserve">.1 </w:t>
      </w:r>
      <w:r>
        <w:rPr>
          <w:rFonts w:hint="eastAsia" w:asciiTheme="majorEastAsia" w:hAnsiTheme="majorEastAsia" w:eastAsiaTheme="majorEastAsia"/>
          <w:szCs w:val="21"/>
        </w:rPr>
        <w:t>投标人应提交证明文件，证明其投标技术方案项下的货物和服务的合格性符合招标文件规定。该投标技术方案及其证明文件均作为投标文件组成部分。</w:t>
      </w:r>
    </w:p>
    <w:p w14:paraId="6821A7F3">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1</w:t>
      </w:r>
      <w:r>
        <w:rPr>
          <w:rFonts w:hint="eastAsia" w:asciiTheme="majorEastAsia" w:hAnsiTheme="majorEastAsia" w:eastAsiaTheme="majorEastAsia"/>
          <w:szCs w:val="21"/>
        </w:rPr>
        <w:t>8</w:t>
      </w:r>
      <w:r>
        <w:rPr>
          <w:rFonts w:asciiTheme="majorEastAsia" w:hAnsiTheme="majorEastAsia" w:eastAsiaTheme="majorEastAsia"/>
          <w:szCs w:val="21"/>
        </w:rPr>
        <w:t xml:space="preserve">.2 </w:t>
      </w:r>
      <w:r>
        <w:rPr>
          <w:rFonts w:hint="eastAsia" w:asciiTheme="majorEastAsia" w:hAnsiTheme="majorEastAsia" w:eastAsiaTheme="majorEastAsia"/>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4AB3FC7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18.2.1主要技术指标和性能的详细说明。</w:t>
      </w:r>
    </w:p>
    <w:p w14:paraId="567DCF5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18.2.</w:t>
      </w:r>
      <w:r>
        <w:rPr>
          <w:rFonts w:asciiTheme="majorEastAsia" w:hAnsiTheme="majorEastAsia" w:eastAsiaTheme="majorEastAsia"/>
          <w:szCs w:val="21"/>
        </w:rPr>
        <w:t>2</w:t>
      </w:r>
      <w:r>
        <w:rPr>
          <w:rFonts w:hint="eastAsia" w:asciiTheme="majorEastAsia" w:hAnsiTheme="majorEastAsia" w:eastAsiaTheme="majorEastAsia"/>
          <w:szCs w:val="21"/>
        </w:rPr>
        <w:t>投标产品从采购人开始使用至招标文件中规定的周期内正常、连续地使用所必须的备件和专用工具清单，包括备件和专用工具的货源及现行价格。</w:t>
      </w:r>
    </w:p>
    <w:p w14:paraId="230E94A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18.2.</w:t>
      </w:r>
      <w:r>
        <w:rPr>
          <w:rFonts w:asciiTheme="majorEastAsia" w:hAnsiTheme="majorEastAsia" w:eastAsiaTheme="majorEastAsia"/>
          <w:szCs w:val="21"/>
        </w:rPr>
        <w:t>3</w:t>
      </w:r>
      <w:r>
        <w:rPr>
          <w:rFonts w:hint="eastAsia" w:asciiTheme="majorEastAsia" w:hAnsiTheme="majorEastAsia" w:eastAsiaTheme="majorEastAsia"/>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7B4802D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清晰度要求能够使用电脑阅读、识别和判断；</w:t>
      </w:r>
    </w:p>
    <w:p w14:paraId="6A13C87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18.2.5我国政府机构出具的产品检验和核准证件应为证件正面、背面和附件标注的全部具体内容；产品检验和核准证件的尺寸和清晰度应该能够在电脑上被阅读、识别和判断，提供原件扫描件。</w:t>
      </w:r>
    </w:p>
    <w:p w14:paraId="5AC0B2E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18.3相关资料不符合18.2款要求的，评审委员会有权认定为投标技术方案不合格响应，其相关分数予以扣减或作投标无效处理。</w:t>
      </w:r>
    </w:p>
    <w:p w14:paraId="2D3671E2">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1</w:t>
      </w:r>
      <w:r>
        <w:rPr>
          <w:rFonts w:hint="eastAsia" w:asciiTheme="majorEastAsia" w:hAnsiTheme="majorEastAsia" w:eastAsiaTheme="majorEastAsia"/>
          <w:szCs w:val="21"/>
        </w:rPr>
        <w:t>8</w:t>
      </w:r>
      <w:r>
        <w:rPr>
          <w:rFonts w:asciiTheme="majorEastAsia" w:hAnsiTheme="majorEastAsia" w:eastAsiaTheme="majorEastAsia"/>
          <w:szCs w:val="21"/>
        </w:rPr>
        <w:t>.</w:t>
      </w:r>
      <w:r>
        <w:rPr>
          <w:rFonts w:hint="eastAsia" w:asciiTheme="majorEastAsia" w:hAnsiTheme="majorEastAsia" w:eastAsiaTheme="majorEastAsia"/>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满足要求，由评审委员会来评判。</w:t>
      </w:r>
    </w:p>
    <w:p w14:paraId="59BDD18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18.5除非另有规定或说明，投标人对同一项目投标时，不得同时提供两套或两套以上的投标方案。</w:t>
      </w:r>
    </w:p>
    <w:bookmarkEnd w:id="35"/>
    <w:p w14:paraId="1509FEA5">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19．</w:t>
      </w:r>
      <w:bookmarkStart w:id="36" w:name="_Hlk72402034"/>
      <w:r>
        <w:rPr>
          <w:rFonts w:hint="eastAsia" w:asciiTheme="majorEastAsia" w:hAnsiTheme="majorEastAsia" w:eastAsiaTheme="majorEastAsia"/>
          <w:b/>
          <w:bCs/>
          <w:szCs w:val="21"/>
        </w:rPr>
        <w:t>投标文件其他证明文件的要求</w:t>
      </w:r>
    </w:p>
    <w:p w14:paraId="220EF8D4">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37" w:name="_Hlk71407299"/>
    </w:p>
    <w:bookmarkEnd w:id="37"/>
    <w:p w14:paraId="63C133B7">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3C794617">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20．投标有效期</w:t>
      </w:r>
    </w:p>
    <w:bookmarkEnd w:id="36"/>
    <w:p w14:paraId="448BA448">
      <w:pPr>
        <w:spacing w:line="360" w:lineRule="auto"/>
        <w:ind w:firstLine="411" w:firstLineChars="196"/>
        <w:rPr>
          <w:rFonts w:asciiTheme="majorEastAsia" w:hAnsiTheme="majorEastAsia" w:eastAsiaTheme="majorEastAsia"/>
          <w:szCs w:val="21"/>
        </w:rPr>
      </w:pPr>
      <w:bookmarkStart w:id="38" w:name="_Hlk72402214"/>
      <w:r>
        <w:rPr>
          <w:rFonts w:hint="eastAsia" w:asciiTheme="majorEastAsia" w:hAnsiTheme="majorEastAsia" w:eastAsiaTheme="majorEastAsia"/>
          <w:szCs w:val="21"/>
        </w:rPr>
        <w:t>20.1 投标有效期为</w:t>
      </w:r>
      <w:r>
        <w:rPr>
          <w:rFonts w:hint="eastAsia" w:cs="Arial" w:asciiTheme="majorEastAsia" w:hAnsiTheme="majorEastAsia" w:eastAsiaTheme="majorEastAsia"/>
          <w:szCs w:val="21"/>
        </w:rPr>
        <w:t>从投标截止之日算起的日历天数。</w:t>
      </w:r>
      <w:r>
        <w:rPr>
          <w:rFonts w:hint="eastAsia" w:asciiTheme="majorEastAsia" w:hAnsiTheme="majorEastAsia" w:eastAsiaTheme="majorEastAsia"/>
          <w:szCs w:val="21"/>
        </w:rPr>
        <w:t>在此期限内，所有投标文件均保持有效。</w:t>
      </w:r>
    </w:p>
    <w:p w14:paraId="76C678F7">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20.2 在特殊情况下，采购代理机构在原定的投标有效期满之前，可以根据需要以书面形式（包括采购代理机构网站公开发布方式）向投标人提出延长投标有效期的要求，对此要求投标人须以书面形式予以答复，投标人可以拒绝采购代理机构此项要求，其投标在原投标有效期满后不再有效。同意延长投标有效期的投标人不能要求也不允许修改其投标文件。</w:t>
      </w:r>
    </w:p>
    <w:p w14:paraId="5E97C01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20</w:t>
      </w:r>
      <w:r>
        <w:rPr>
          <w:rFonts w:asciiTheme="majorEastAsia" w:hAnsiTheme="majorEastAsia" w:eastAsiaTheme="majorEastAsia"/>
          <w:szCs w:val="21"/>
        </w:rPr>
        <w:t>.3</w:t>
      </w:r>
      <w:r>
        <w:rPr>
          <w:rFonts w:hint="eastAsia" w:asciiTheme="majorEastAsia" w:hAnsiTheme="majorEastAsia" w:eastAsiaTheme="majorEastAsia"/>
          <w:szCs w:val="21"/>
        </w:rPr>
        <w:t xml:space="preserve"> 中标供应商的投标文件有效期，截止于完成本招标文件规定的全部项目内容，并通过竣工验收及保修期结束。</w:t>
      </w:r>
    </w:p>
    <w:bookmarkEnd w:id="38"/>
    <w:p w14:paraId="0DA16307">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21．</w:t>
      </w:r>
      <w:bookmarkStart w:id="39" w:name="_Hlk72402325"/>
      <w:r>
        <w:rPr>
          <w:rFonts w:hint="eastAsia" w:asciiTheme="majorEastAsia" w:hAnsiTheme="majorEastAsia" w:eastAsiaTheme="majorEastAsia"/>
          <w:szCs w:val="21"/>
        </w:rPr>
        <w:t xml:space="preserve">关于投标保证金 </w:t>
      </w:r>
    </w:p>
    <w:p w14:paraId="11F7F67A">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21.1 根据《</w:t>
      </w:r>
      <w:r>
        <w:rPr>
          <w:rFonts w:asciiTheme="majorEastAsia" w:hAnsiTheme="majorEastAsia" w:eastAsiaTheme="majorEastAsia"/>
          <w:szCs w:val="21"/>
        </w:rPr>
        <w:t>深圳市财政局关于明确政府采购保证金管理工作的通知</w:t>
      </w:r>
      <w:r>
        <w:rPr>
          <w:rFonts w:hint="eastAsia" w:asciiTheme="majorEastAsia" w:hAnsiTheme="majorEastAsia" w:eastAsiaTheme="majorEastAsia"/>
          <w:szCs w:val="21"/>
        </w:rPr>
        <w:t>》（深财购[</w:t>
      </w:r>
      <w:r>
        <w:rPr>
          <w:rFonts w:asciiTheme="majorEastAsia" w:hAnsiTheme="majorEastAsia" w:eastAsiaTheme="majorEastAsia"/>
          <w:szCs w:val="21"/>
        </w:rPr>
        <w:t>2019]42</w:t>
      </w:r>
      <w:r>
        <w:rPr>
          <w:rFonts w:hint="eastAsia" w:asciiTheme="majorEastAsia" w:hAnsiTheme="majorEastAsia" w:eastAsiaTheme="majorEastAsia"/>
          <w:szCs w:val="21"/>
        </w:rPr>
        <w:t>号）文的规定，本项目不收取投标保证金。</w:t>
      </w:r>
    </w:p>
    <w:p w14:paraId="1759274E">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22．投标人的替代方案</w:t>
      </w:r>
    </w:p>
    <w:p w14:paraId="12612F1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62094E3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39"/>
    <w:p w14:paraId="24151E01">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23．</w:t>
      </w:r>
      <w:bookmarkStart w:id="40" w:name="_Hlk72402860"/>
      <w:r>
        <w:rPr>
          <w:rFonts w:asciiTheme="majorEastAsia" w:hAnsiTheme="majorEastAsia" w:eastAsiaTheme="majorEastAsia"/>
          <w:b/>
          <w:bCs/>
          <w:szCs w:val="21"/>
        </w:rPr>
        <w:t>投标文件的</w:t>
      </w:r>
      <w:r>
        <w:rPr>
          <w:rFonts w:hint="eastAsia" w:asciiTheme="majorEastAsia" w:hAnsiTheme="majorEastAsia" w:eastAsiaTheme="majorEastAsia"/>
          <w:b/>
          <w:bCs/>
          <w:szCs w:val="21"/>
        </w:rPr>
        <w:t>制作</w:t>
      </w:r>
      <w:r>
        <w:rPr>
          <w:rFonts w:asciiTheme="majorEastAsia" w:hAnsiTheme="majorEastAsia" w:eastAsiaTheme="majorEastAsia"/>
          <w:b/>
          <w:bCs/>
          <w:szCs w:val="21"/>
        </w:rPr>
        <w:t>要求</w:t>
      </w:r>
    </w:p>
    <w:p w14:paraId="2CF990F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23.1投标人应准备所投项目的电子投标文件一份。此电子投标文件须由投标人根据采购代理机构提供的后缀名为.szczf的电子招标文件，下载并使用相应的深圳智慧采购平台投标文件制作专用软件打开招标文件（.szczf格式）【下载地址：</w:t>
      </w:r>
      <w:r>
        <w:rPr>
          <w:rFonts w:asciiTheme="majorEastAsia" w:hAnsiTheme="majorEastAsia" w:eastAsiaTheme="majorEastAsia"/>
          <w:szCs w:val="21"/>
        </w:rPr>
        <w:t>http://zfcg.szggzy.com/</w:t>
      </w:r>
      <w:r>
        <w:rPr>
          <w:rFonts w:hint="eastAsia" w:asciiTheme="majorEastAsia" w:hAnsiTheme="majorEastAsia" w:eastAsiaTheme="majorEastAsia"/>
          <w:szCs w:val="21"/>
        </w:rPr>
        <w:t>TPBidder/DownLoad/深圳市智慧采购平台投标文件制作专用软件.zip】。</w:t>
      </w:r>
    </w:p>
    <w:p w14:paraId="602443C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23.2投标人在使用《投标文件制作软件》编制投标书时须注意：</w:t>
      </w:r>
    </w:p>
    <w:p w14:paraId="349E19B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23.2.1导入《投标文件制作软件》的招标文件项目编号、包号应与以此制作的投标文件项目编号、包号一致。例如，不能将甲项目A包的招标书导入《投标文件制作软件》，制作乙项目B包的投标书。</w:t>
      </w:r>
    </w:p>
    <w:p w14:paraId="5717A34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23.2.2不能用非本公司的电子密钥加密本公司的投标文件，或者用其它公司的登录用户上传本公司的投标文件。</w:t>
      </w:r>
    </w:p>
    <w:p w14:paraId="268EF6D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23.2.3要求用《投标文件制作软件》编制投标书的包，不能用其它方式编制投标书。编制投标文件时，电脑须连通互联网。</w:t>
      </w:r>
    </w:p>
    <w:p w14:paraId="0E88BCD7">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23.2.4投标文件不能带病毒。采购代理机构将用专业杀毒软件对投标文件进行病毒检测，如果这两种软件均报告发现病毒，则采购代理机构认为该投标文件带病毒。</w:t>
      </w:r>
    </w:p>
    <w:p w14:paraId="6D7A0D0E">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23.2.5完整填写“投标关键信息”，如下图所示：</w:t>
      </w:r>
    </w:p>
    <w:p w14:paraId="1AC1F68B">
      <w:pPr>
        <w:tabs>
          <w:tab w:val="left" w:pos="0"/>
        </w:tabs>
        <w:spacing w:line="360" w:lineRule="auto"/>
        <w:rPr>
          <w:rFonts w:asciiTheme="majorEastAsia" w:hAnsiTheme="majorEastAsia" w:eastAsiaTheme="majorEastAsia"/>
          <w:szCs w:val="21"/>
        </w:rPr>
      </w:pPr>
      <w:r>
        <w:rPr>
          <w:rFonts w:asciiTheme="majorEastAsia" w:hAnsiTheme="majorEastAsia" w:eastAsiaTheme="majorEastAsia"/>
          <w:szCs w:val="21"/>
        </w:rPr>
        <w:drawing>
          <wp:inline distT="0" distB="0" distL="0" distR="0">
            <wp:extent cx="5278755" cy="2721610"/>
            <wp:effectExtent l="0" t="0" r="0" b="2540"/>
            <wp:docPr id="8"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图形用户界面, 应用程序&#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585590B7">
      <w:pPr>
        <w:spacing w:line="360" w:lineRule="auto"/>
        <w:ind w:firstLine="413" w:firstLineChars="196"/>
        <w:rPr>
          <w:rFonts w:asciiTheme="majorEastAsia" w:hAnsiTheme="majorEastAsia" w:eastAsiaTheme="majorEastAsia"/>
          <w:b/>
          <w:szCs w:val="21"/>
        </w:rPr>
      </w:pPr>
      <w:r>
        <w:rPr>
          <w:rFonts w:hint="eastAsia" w:asciiTheme="majorEastAsia" w:hAnsiTheme="majorEastAsia" w:eastAsiaTheme="majorEastAsia"/>
          <w:b/>
          <w:szCs w:val="21"/>
        </w:rPr>
        <w:t>备注：上述“开标一览表”中的“投标总价”将作为价格分计算依据；其它信息仅是对投标文件相关内容的概括性表述，不作为评审依据。</w:t>
      </w:r>
    </w:p>
    <w:p w14:paraId="2905D33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23.2.6投标人在编辑投标文件时，</w:t>
      </w:r>
      <w:r>
        <w:rPr>
          <w:rFonts w:hint="eastAsia" w:asciiTheme="majorEastAsia" w:hAnsiTheme="majorEastAsia" w:eastAsiaTheme="majorEastAsia"/>
          <w:b/>
          <w:szCs w:val="21"/>
        </w:rPr>
        <w:t>在投标文件目录中属于本节点内容的必须在本节点中填写，填写到其他节点或附件，</w:t>
      </w:r>
      <w:r>
        <w:rPr>
          <w:rFonts w:hint="eastAsia" w:asciiTheme="majorEastAsia" w:hAnsiTheme="majorEastAsia" w:eastAsiaTheme="majorEastAsia"/>
          <w:szCs w:val="21"/>
        </w:rPr>
        <w:t>一切后果由供应商自行承担。</w:t>
      </w:r>
    </w:p>
    <w:p w14:paraId="737F48A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23.2.7投标文件编写完成后，</w:t>
      </w:r>
      <w:r>
        <w:rPr>
          <w:rFonts w:hint="eastAsia" w:asciiTheme="majorEastAsia" w:hAnsiTheme="majorEastAsia" w:eastAsiaTheme="majorEastAsia"/>
          <w:b/>
          <w:szCs w:val="21"/>
        </w:rPr>
        <w:t>必须用属于投标人的电子密钥进行加密，否则视同未盖公章，将导致投标文件无效。</w:t>
      </w:r>
    </w:p>
    <w:p w14:paraId="3B27342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23.2.8采购代理机构不接受投标截止时间后递交的纸质、电子、传真等所有形式的投标文件。由于对网上政府采购系统操作不熟悉或自身电脑、网络等原因导致不能在投标截止时间之前上传投标文件，采购代理机构概不负责。建议于开标前一个工作日完成投标文件的制作与上传，如上传确有困难，请及时咨询。</w:t>
      </w:r>
    </w:p>
    <w:p w14:paraId="5FBA19F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23.2.9如果开标时出现网络故障、技术故障，影响了政府采购活动，采购代理机构有权采取措施如延期、接受无法从网上上传的投标书等，以保障政府采购活动的公开、公平和公正。</w:t>
      </w:r>
    </w:p>
    <w:p w14:paraId="4D4DF53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23.3电报、电话、传真形式的投标概不接受。</w:t>
      </w:r>
    </w:p>
    <w:p w14:paraId="61D90B09">
      <w:pPr>
        <w:spacing w:line="360" w:lineRule="auto"/>
        <w:ind w:firstLine="413" w:firstLineChars="196"/>
        <w:rPr>
          <w:rFonts w:asciiTheme="majorEastAsia" w:hAnsiTheme="majorEastAsia" w:eastAsiaTheme="majorEastAsia"/>
          <w:b/>
          <w:szCs w:val="21"/>
        </w:rPr>
      </w:pPr>
      <w:r>
        <w:rPr>
          <w:rFonts w:hint="eastAsia" w:asciiTheme="majorEastAsia" w:hAnsiTheme="majorEastAsia" w:eastAsiaTheme="majorEastAsia"/>
          <w:b/>
          <w:szCs w:val="21"/>
        </w:rPr>
        <w:t>23.4经投标人电子密钥加密的投标文件无须盖章或签字，</w:t>
      </w:r>
      <w:r>
        <w:rPr>
          <w:rFonts w:hint="eastAsia" w:asciiTheme="majorEastAsia" w:hAnsiTheme="majorEastAsia" w:eastAsiaTheme="majorEastAsia"/>
          <w:szCs w:val="21"/>
        </w:rPr>
        <w:t>专用条款另有要求的除外。</w:t>
      </w:r>
    </w:p>
    <w:p w14:paraId="6FE8F6C4">
      <w:pPr>
        <w:spacing w:line="360" w:lineRule="auto"/>
        <w:ind w:firstLine="413" w:firstLineChars="196"/>
        <w:rPr>
          <w:rFonts w:asciiTheme="majorEastAsia" w:hAnsiTheme="majorEastAsia" w:eastAsiaTheme="majorEastAsia"/>
          <w:szCs w:val="21"/>
        </w:rPr>
      </w:pPr>
      <w:r>
        <w:rPr>
          <w:rFonts w:hint="eastAsia" w:asciiTheme="majorEastAsia" w:hAnsiTheme="majorEastAsia" w:eastAsiaTheme="majorEastAsia"/>
          <w:b/>
          <w:szCs w:val="21"/>
        </w:rPr>
        <w:t>23.5</w:t>
      </w:r>
      <w:r>
        <w:rPr>
          <w:rFonts w:hint="eastAsia" w:asciiTheme="majorEastAsia" w:hAnsiTheme="majorEastAsia" w:eastAsiaTheme="majorEastAsia"/>
          <w:szCs w:val="21"/>
        </w:rPr>
        <w:t xml:space="preserve"> 各类资格（资质）文件提供扫描件，专用条款另有要求的除外。</w:t>
      </w:r>
      <w:bookmarkEnd w:id="40"/>
    </w:p>
    <w:p w14:paraId="0AA2F916">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r>
        <w:rPr>
          <w:rFonts w:hint="eastAsia" w:asciiTheme="majorEastAsia" w:hAnsiTheme="majorEastAsia" w:eastAsiaTheme="majorEastAsia"/>
          <w:b/>
          <w:bCs/>
          <w:kern w:val="0"/>
          <w:sz w:val="28"/>
          <w:szCs w:val="28"/>
        </w:rPr>
        <w:t>投标文件的递交</w:t>
      </w:r>
      <w:bookmarkStart w:id="41" w:name="_Hlk72405459"/>
    </w:p>
    <w:p w14:paraId="10210FDE">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24．投标书的保密</w:t>
      </w:r>
    </w:p>
    <w:p w14:paraId="4737AF3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24.1在投标文件制作完成后，在投标文件制作软件点击【生成标书】按钮进入【填写开标一览表界面】界面，在该界面填写完开标一览表信息后点击【确定】，进入投标文件生成环节。投标文件制作软件会在投标文件生成过程中，提示用户输入密码，输入密码后对标文件自动进行加密，此加密程序确保投标文件在到达开标时间后才能解密查看。在加密过程中，请按照软件提示进行操作。加密操作界面如下图所示：</w:t>
      </w:r>
    </w:p>
    <w:p w14:paraId="5D37CF50">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drawing>
          <wp:inline distT="0" distB="0" distL="0" distR="0">
            <wp:extent cx="5278755" cy="2721610"/>
            <wp:effectExtent l="0" t="0" r="0" b="2540"/>
            <wp:docPr id="9"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图形用户界面, 应用程序&#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14:paraId="3E03E7A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在投标文件制作软件点击【生成标书】按钮进入【填写开标一览表界面】界面，在该界面填写完开标一览表信息后点击【确定】，进入投标文件生成环节。</w:t>
      </w:r>
      <w:r>
        <w:rPr>
          <w:rFonts w:asciiTheme="majorEastAsia" w:hAnsiTheme="majorEastAsia" w:eastAsiaTheme="majorEastAsia"/>
          <w:szCs w:val="21"/>
        </w:rPr>
        <w:drawing>
          <wp:inline distT="0" distB="0" distL="0" distR="0">
            <wp:extent cx="5278755" cy="2732405"/>
            <wp:effectExtent l="0" t="0" r="0" b="0"/>
            <wp:docPr id="12"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图形用户界面&#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14:paraId="7CC3379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投标文件制作软件会在投标文件生成过程中，提示用户输入密码，输入密码后对标文件自动进行加密。</w:t>
      </w:r>
    </w:p>
    <w:p w14:paraId="7508D571">
      <w:pPr>
        <w:spacing w:line="360" w:lineRule="auto"/>
        <w:ind w:firstLine="422" w:firstLineChars="200"/>
        <w:rPr>
          <w:rFonts w:asciiTheme="majorEastAsia" w:hAnsiTheme="majorEastAsia" w:eastAsiaTheme="majorEastAsia"/>
          <w:b/>
          <w:szCs w:val="21"/>
        </w:rPr>
      </w:pPr>
      <w:r>
        <w:rPr>
          <w:rFonts w:hint="eastAsia" w:asciiTheme="majorEastAsia" w:hAnsiTheme="majorEastAsia" w:eastAsiaTheme="majorEastAsia"/>
          <w:b/>
          <w:szCs w:val="21"/>
        </w:rPr>
        <w:t>24.2若采购项目出现延期情况：</w:t>
      </w:r>
    </w:p>
    <w:p w14:paraId="253E0142">
      <w:pPr>
        <w:spacing w:line="360" w:lineRule="auto"/>
        <w:ind w:firstLine="422" w:firstLineChars="200"/>
        <w:rPr>
          <w:rFonts w:asciiTheme="majorEastAsia" w:hAnsiTheme="majorEastAsia" w:eastAsiaTheme="majorEastAsia"/>
          <w:b/>
          <w:szCs w:val="21"/>
        </w:rPr>
      </w:pPr>
      <w:r>
        <w:rPr>
          <w:rFonts w:hint="eastAsia" w:asciiTheme="majorEastAsia" w:hAnsiTheme="majorEastAsia" w:eastAsiaTheme="majorEastAsia"/>
          <w:b/>
          <w:szCs w:val="21"/>
        </w:rPr>
        <w:t>如果供下载的招标文件（后缀名为.</w:t>
      </w:r>
      <w:r>
        <w:rPr>
          <w:rFonts w:asciiTheme="majorEastAsia" w:hAnsiTheme="majorEastAsia" w:eastAsiaTheme="majorEastAsia"/>
          <w:b/>
          <w:szCs w:val="21"/>
        </w:rPr>
        <w:t>szczf</w:t>
      </w:r>
      <w:r>
        <w:rPr>
          <w:rFonts w:hint="eastAsia" w:asciiTheme="majorEastAsia" w:hAnsiTheme="majorEastAsia" w:eastAsiaTheme="majorEastAsia"/>
          <w:b/>
          <w:szCs w:val="21"/>
        </w:rPr>
        <w:t>）有更新，投标人必须重新下载招标文件、重新制作投标文件、重新加密投标文件、重新上传投标文件；如果供下载的招标文件（后缀名为.</w:t>
      </w:r>
      <w:r>
        <w:rPr>
          <w:rFonts w:asciiTheme="majorEastAsia" w:hAnsiTheme="majorEastAsia" w:eastAsiaTheme="majorEastAsia"/>
          <w:b/>
          <w:szCs w:val="21"/>
        </w:rPr>
        <w:t>szczf</w:t>
      </w:r>
      <w:r>
        <w:rPr>
          <w:rFonts w:hint="eastAsia" w:asciiTheme="majorEastAsia" w:hAnsiTheme="majorEastAsia" w:eastAsiaTheme="majorEastAsia"/>
          <w:b/>
          <w:szCs w:val="21"/>
        </w:rPr>
        <w:t>）没有更新，投标人必须重新加密投标文件、重新上传投标文件（是否重新制作投标文件根据项目实际情况定）。否则，投标人自行承担投标文件无法解密导致投标无效的后果。</w:t>
      </w:r>
    </w:p>
    <w:p w14:paraId="4F1F67C4">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25．上传投标文件及投标截止日期</w:t>
      </w:r>
    </w:p>
    <w:p w14:paraId="360DE8D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25</w:t>
      </w:r>
      <w:r>
        <w:rPr>
          <w:rFonts w:asciiTheme="majorEastAsia" w:hAnsiTheme="majorEastAsia" w:eastAsiaTheme="majorEastAsia"/>
          <w:szCs w:val="21"/>
        </w:rPr>
        <w:t>.</w:t>
      </w:r>
      <w:r>
        <w:rPr>
          <w:rFonts w:hint="eastAsia" w:asciiTheme="majorEastAsia" w:hAnsiTheme="majorEastAsia" w:eastAsiaTheme="majorEastAsia"/>
          <w:szCs w:val="21"/>
        </w:rPr>
        <w:t>1实行网上投标，</w:t>
      </w:r>
      <w:r>
        <w:rPr>
          <w:rFonts w:asciiTheme="majorEastAsia" w:hAnsiTheme="majorEastAsia" w:eastAsiaTheme="majorEastAsia"/>
          <w:szCs w:val="21"/>
        </w:rPr>
        <w:t>投标人必须</w:t>
      </w:r>
      <w:r>
        <w:rPr>
          <w:rFonts w:hint="eastAsia" w:asciiTheme="majorEastAsia" w:hAnsiTheme="majorEastAsia" w:eastAsiaTheme="majorEastAsia"/>
          <w:szCs w:val="21"/>
        </w:rPr>
        <w:t>在招标</w:t>
      </w:r>
      <w:r>
        <w:rPr>
          <w:rFonts w:asciiTheme="majorEastAsia" w:hAnsiTheme="majorEastAsia" w:eastAsiaTheme="majorEastAsia"/>
          <w:szCs w:val="21"/>
        </w:rPr>
        <w:t>文件规定的投标截止时间前</w:t>
      </w:r>
      <w:r>
        <w:rPr>
          <w:rFonts w:hint="eastAsia" w:asciiTheme="majorEastAsia" w:hAnsiTheme="majorEastAsia" w:eastAsiaTheme="majorEastAsia"/>
          <w:szCs w:val="21"/>
        </w:rPr>
        <w:t>用电子密钥登录“深圳政府采购智慧平台用户网上办事子系统（http://zfcg.szggzy.com/TPBidder/memberLogin）”，用“【我的项目】→【项目流程】→【递交投标(应答)文件】”功能点上传投标文件。</w:t>
      </w:r>
    </w:p>
    <w:p w14:paraId="36B6126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25.2采购代理机构可以按本通用条款第13条规定，通过修改招标文件自行决定酌情延长投标截止期。在此情况下，采购代理机构、采购人和投标人受投标截止期制约的所有权利和义务均应延长至新的截止期。</w:t>
      </w:r>
    </w:p>
    <w:p w14:paraId="22CD148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25</w:t>
      </w:r>
      <w:r>
        <w:rPr>
          <w:rFonts w:asciiTheme="majorEastAsia" w:hAnsiTheme="majorEastAsia" w:eastAsiaTheme="majorEastAsia"/>
          <w:szCs w:val="21"/>
        </w:rPr>
        <w:t>.</w:t>
      </w:r>
      <w:r>
        <w:rPr>
          <w:rFonts w:hint="eastAsia" w:asciiTheme="majorEastAsia" w:hAnsiTheme="majorEastAsia" w:eastAsiaTheme="majorEastAsia"/>
          <w:szCs w:val="21"/>
        </w:rPr>
        <w:t>3投标截止时间以后不得上传投标文件。</w:t>
      </w:r>
    </w:p>
    <w:p w14:paraId="15E5985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25.4.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bookmarkEnd w:id="41"/>
    <w:p w14:paraId="42065914">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26. 样品、现场演示、方案讲解</w:t>
      </w:r>
    </w:p>
    <w:p w14:paraId="05E5DED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26.1 样品、现场演示、方案讲解等事项在招标文件专用条款中进行规定。</w:t>
      </w:r>
    </w:p>
    <w:p w14:paraId="09783E6C">
      <w:pPr>
        <w:spacing w:line="360" w:lineRule="auto"/>
        <w:rPr>
          <w:rFonts w:asciiTheme="majorEastAsia" w:hAnsiTheme="majorEastAsia" w:eastAsiaTheme="majorEastAsia"/>
          <w:b/>
          <w:bCs/>
          <w:szCs w:val="21"/>
        </w:rPr>
      </w:pPr>
      <w:bookmarkStart w:id="42" w:name="_Hlk72428346"/>
      <w:r>
        <w:rPr>
          <w:rFonts w:asciiTheme="majorEastAsia" w:hAnsiTheme="majorEastAsia" w:eastAsiaTheme="majorEastAsia"/>
          <w:b/>
          <w:bCs/>
          <w:szCs w:val="21"/>
        </w:rPr>
        <w:t>2</w:t>
      </w:r>
      <w:r>
        <w:rPr>
          <w:rFonts w:hint="eastAsia" w:asciiTheme="majorEastAsia" w:hAnsiTheme="majorEastAsia" w:eastAsiaTheme="majorEastAsia"/>
          <w:b/>
          <w:bCs/>
          <w:szCs w:val="21"/>
        </w:rPr>
        <w:t>7．</w:t>
      </w:r>
      <w:r>
        <w:rPr>
          <w:rFonts w:asciiTheme="majorEastAsia" w:hAnsiTheme="majorEastAsia" w:eastAsiaTheme="majorEastAsia"/>
          <w:b/>
          <w:bCs/>
          <w:szCs w:val="21"/>
        </w:rPr>
        <w:t>投标文件的修改和撤销</w:t>
      </w:r>
    </w:p>
    <w:p w14:paraId="2A71F333">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2</w:t>
      </w:r>
      <w:r>
        <w:rPr>
          <w:rFonts w:hint="eastAsia" w:asciiTheme="majorEastAsia" w:hAnsiTheme="majorEastAsia" w:eastAsiaTheme="majorEastAsia"/>
          <w:szCs w:val="21"/>
        </w:rPr>
        <w:t>7</w:t>
      </w:r>
      <w:r>
        <w:rPr>
          <w:rFonts w:asciiTheme="majorEastAsia" w:hAnsiTheme="majorEastAsia" w:eastAsiaTheme="majorEastAsia"/>
          <w:szCs w:val="21"/>
        </w:rPr>
        <w:t>.</w:t>
      </w:r>
      <w:r>
        <w:rPr>
          <w:rFonts w:hint="eastAsia" w:asciiTheme="majorEastAsia" w:hAnsiTheme="majorEastAsia" w:eastAsiaTheme="majorEastAsia"/>
          <w:szCs w:val="21"/>
        </w:rPr>
        <w:t>1</w:t>
      </w:r>
      <w:r>
        <w:rPr>
          <w:rFonts w:asciiTheme="majorEastAsia" w:hAnsiTheme="majorEastAsia" w:eastAsiaTheme="majorEastAsia"/>
          <w:szCs w:val="21"/>
        </w:rPr>
        <w:t>投标方在提交投标文件后可对其投标文件进行修改</w:t>
      </w:r>
      <w:r>
        <w:rPr>
          <w:rFonts w:hint="eastAsia" w:asciiTheme="majorEastAsia" w:hAnsiTheme="majorEastAsia" w:eastAsiaTheme="majorEastAsia"/>
          <w:szCs w:val="21"/>
        </w:rPr>
        <w:t>并重新上传投标文件</w:t>
      </w:r>
      <w:r>
        <w:rPr>
          <w:rFonts w:asciiTheme="majorEastAsia" w:hAnsiTheme="majorEastAsia" w:eastAsiaTheme="majorEastAsia"/>
          <w:szCs w:val="21"/>
        </w:rPr>
        <w:t>或</w:t>
      </w:r>
      <w:r>
        <w:rPr>
          <w:rFonts w:hint="eastAsia" w:asciiTheme="majorEastAsia" w:hAnsiTheme="majorEastAsia" w:eastAsiaTheme="majorEastAsia"/>
          <w:szCs w:val="21"/>
        </w:rPr>
        <w:t>在网上进行</w:t>
      </w:r>
      <w:r>
        <w:rPr>
          <w:rFonts w:asciiTheme="majorEastAsia" w:hAnsiTheme="majorEastAsia" w:eastAsiaTheme="majorEastAsia"/>
          <w:szCs w:val="21"/>
        </w:rPr>
        <w:t>撤销</w:t>
      </w:r>
      <w:r>
        <w:rPr>
          <w:rFonts w:hint="eastAsia" w:asciiTheme="majorEastAsia" w:hAnsiTheme="majorEastAsia" w:eastAsiaTheme="majorEastAsia"/>
          <w:szCs w:val="21"/>
        </w:rPr>
        <w:t>投标的操作</w:t>
      </w:r>
      <w:r>
        <w:rPr>
          <w:rFonts w:asciiTheme="majorEastAsia" w:hAnsiTheme="majorEastAsia" w:eastAsiaTheme="majorEastAsia"/>
          <w:szCs w:val="21"/>
        </w:rPr>
        <w:t>。</w:t>
      </w:r>
    </w:p>
    <w:p w14:paraId="2C98ECF4">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2</w:t>
      </w:r>
      <w:r>
        <w:rPr>
          <w:rFonts w:hint="eastAsia" w:asciiTheme="majorEastAsia" w:hAnsiTheme="majorEastAsia" w:eastAsiaTheme="majorEastAsia"/>
          <w:szCs w:val="21"/>
        </w:rPr>
        <w:t>7</w:t>
      </w:r>
      <w:r>
        <w:rPr>
          <w:rFonts w:asciiTheme="majorEastAsia" w:hAnsiTheme="majorEastAsia" w:eastAsiaTheme="majorEastAsia"/>
          <w:szCs w:val="21"/>
        </w:rPr>
        <w:t>.</w:t>
      </w:r>
      <w:r>
        <w:rPr>
          <w:rFonts w:hint="eastAsia" w:asciiTheme="majorEastAsia" w:hAnsiTheme="majorEastAsia" w:eastAsiaTheme="majorEastAsia"/>
          <w:szCs w:val="21"/>
        </w:rPr>
        <w:t>2</w:t>
      </w:r>
      <w:r>
        <w:rPr>
          <w:rFonts w:asciiTheme="majorEastAsia" w:hAnsiTheme="majorEastAsia" w:eastAsiaTheme="majorEastAsia"/>
          <w:szCs w:val="21"/>
        </w:rPr>
        <w:t>投标截止时间以后不得修改投标文件。</w:t>
      </w:r>
    </w:p>
    <w:p w14:paraId="17E85CCE">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2</w:t>
      </w:r>
      <w:r>
        <w:rPr>
          <w:rFonts w:hint="eastAsia" w:asciiTheme="majorEastAsia" w:hAnsiTheme="majorEastAsia" w:eastAsiaTheme="majorEastAsia"/>
          <w:szCs w:val="21"/>
        </w:rPr>
        <w:t>7</w:t>
      </w:r>
      <w:r>
        <w:rPr>
          <w:rFonts w:asciiTheme="majorEastAsia" w:hAnsiTheme="majorEastAsia" w:eastAsiaTheme="majorEastAsia"/>
          <w:szCs w:val="21"/>
        </w:rPr>
        <w:t>.</w:t>
      </w:r>
      <w:r>
        <w:rPr>
          <w:rFonts w:hint="eastAsia" w:asciiTheme="majorEastAsia" w:hAnsiTheme="majorEastAsia" w:eastAsiaTheme="majorEastAsia"/>
          <w:szCs w:val="21"/>
        </w:rPr>
        <w:t>3从投标截止期至投标人在投标文件中确定的投标有效期之间的这段时间内，投标人不得撤回其投标。</w:t>
      </w:r>
    </w:p>
    <w:p w14:paraId="174967E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27.4采购代理机构不退还投标文件，专用条款另有规定的除外。</w:t>
      </w:r>
    </w:p>
    <w:bookmarkEnd w:id="42"/>
    <w:p w14:paraId="149B502F">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r>
        <w:rPr>
          <w:rFonts w:hint="eastAsia" w:asciiTheme="majorEastAsia" w:hAnsiTheme="majorEastAsia" w:eastAsiaTheme="majorEastAsia"/>
          <w:b/>
          <w:bCs/>
          <w:kern w:val="0"/>
          <w:sz w:val="28"/>
          <w:szCs w:val="28"/>
        </w:rPr>
        <w:t>开标</w:t>
      </w:r>
    </w:p>
    <w:p w14:paraId="614C15A6">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28．开标</w:t>
      </w:r>
    </w:p>
    <w:p w14:paraId="0F6933C4">
      <w:pPr>
        <w:spacing w:line="360" w:lineRule="auto"/>
        <w:ind w:firstLine="420" w:firstLineChars="200"/>
        <w:rPr>
          <w:rFonts w:asciiTheme="majorEastAsia" w:hAnsiTheme="majorEastAsia" w:eastAsiaTheme="majorEastAsia"/>
          <w:szCs w:val="21"/>
        </w:rPr>
      </w:pPr>
      <w:r>
        <w:rPr>
          <w:rFonts w:asciiTheme="majorEastAsia" w:hAnsiTheme="majorEastAsia" w:eastAsiaTheme="majorEastAsia"/>
          <w:szCs w:val="21"/>
        </w:rPr>
        <w:t>2</w:t>
      </w:r>
      <w:r>
        <w:rPr>
          <w:rFonts w:hint="eastAsia" w:asciiTheme="majorEastAsia" w:hAnsiTheme="majorEastAsia" w:eastAsiaTheme="majorEastAsia"/>
          <w:szCs w:val="21"/>
        </w:rPr>
        <w:t>8</w:t>
      </w:r>
      <w:r>
        <w:rPr>
          <w:rFonts w:asciiTheme="majorEastAsia" w:hAnsiTheme="majorEastAsia" w:eastAsiaTheme="majorEastAsia"/>
          <w:szCs w:val="21"/>
        </w:rPr>
        <w:t>.</w:t>
      </w:r>
      <w:r>
        <w:rPr>
          <w:rFonts w:hint="eastAsia" w:asciiTheme="majorEastAsia" w:hAnsiTheme="majorEastAsia" w:eastAsiaTheme="majorEastAsia"/>
          <w:szCs w:val="21"/>
        </w:rPr>
        <w:t>1投标人须在开标当日的开标时间至解密截止时间内进行解密，逾期未解密的作无效处理。解密方法：登录“深圳政府采购智慧平台用户网上办事子系统（</w:t>
      </w:r>
      <w:r>
        <w:rPr>
          <w:rFonts w:asciiTheme="majorEastAsia" w:hAnsiTheme="majorEastAsia" w:eastAsiaTheme="majorEastAsia"/>
          <w:szCs w:val="21"/>
        </w:rPr>
        <w:t>http://zfcg.szggzy.com/</w:t>
      </w:r>
      <w:r>
        <w:rPr>
          <w:rFonts w:hint="eastAsia" w:asciiTheme="majorEastAsia" w:hAnsiTheme="majorEastAsia" w:eastAsiaTheme="majorEastAsia"/>
          <w:szCs w:val="21"/>
        </w:rPr>
        <w:t>TPBidder/memberLogin）”，使用本单位制作电子投标文件同一个电子密钥，在“【我的项目】→【项目流程】→【开标及解密】”进行在线解密、查询开标情况。</w:t>
      </w:r>
    </w:p>
    <w:p w14:paraId="116973F9">
      <w:pPr>
        <w:spacing w:line="360" w:lineRule="auto"/>
        <w:ind w:firstLine="359" w:firstLineChars="171"/>
        <w:rPr>
          <w:rFonts w:asciiTheme="majorEastAsia" w:hAnsiTheme="majorEastAsia" w:eastAsiaTheme="majorEastAsia"/>
          <w:szCs w:val="21"/>
        </w:rPr>
      </w:pPr>
      <w:r>
        <w:rPr>
          <w:rFonts w:hint="eastAsia" w:asciiTheme="majorEastAsia" w:hAnsiTheme="majorEastAsia" w:eastAsiaTheme="majorEastAsia"/>
          <w:szCs w:val="21"/>
        </w:rPr>
        <w:t>2</w:t>
      </w:r>
      <w:r>
        <w:rPr>
          <w:rFonts w:asciiTheme="majorEastAsia" w:hAnsiTheme="majorEastAsia" w:eastAsiaTheme="majorEastAsia"/>
          <w:szCs w:val="21"/>
        </w:rPr>
        <w:t xml:space="preserve">8.2 </w:t>
      </w:r>
      <w:r>
        <w:rPr>
          <w:rFonts w:hint="eastAsia" w:asciiTheme="majorEastAsia" w:hAnsiTheme="majorEastAsia" w:eastAsiaTheme="majorEastAsia"/>
          <w:szCs w:val="21"/>
        </w:rPr>
        <w:t>采购代理机构将在满足开标条件（</w:t>
      </w:r>
      <w:r>
        <w:rPr>
          <w:rFonts w:hint="eastAsia" w:cs="宋体" w:asciiTheme="majorEastAsia" w:hAnsiTheme="majorEastAsia" w:eastAsiaTheme="majorEastAsia"/>
          <w:color w:val="333333"/>
          <w:szCs w:val="21"/>
          <w:shd w:val="clear" w:color="auto" w:fill="FFFFFF"/>
        </w:rPr>
        <w:t>①</w:t>
      </w:r>
      <w:r>
        <w:rPr>
          <w:rFonts w:hint="eastAsia" w:asciiTheme="majorEastAsia" w:hAnsiTheme="majorEastAsia" w:eastAsiaTheme="majorEastAsia"/>
          <w:szCs w:val="21"/>
        </w:rPr>
        <w:t>解密时间结束，解密后的投标供应商数量满足开标要求或</w:t>
      </w:r>
      <w:r>
        <w:rPr>
          <w:rFonts w:hint="eastAsia" w:cs="宋体" w:asciiTheme="majorEastAsia" w:hAnsiTheme="majorEastAsia" w:eastAsiaTheme="majorEastAsia"/>
          <w:color w:val="333333"/>
          <w:szCs w:val="21"/>
          <w:shd w:val="clear" w:color="auto" w:fill="FFFFFF"/>
        </w:rPr>
        <w:t>②</w:t>
      </w:r>
      <w:r>
        <w:rPr>
          <w:rFonts w:hint="eastAsia" w:asciiTheme="majorEastAsia" w:hAnsiTheme="majorEastAsia" w:eastAsiaTheme="majorEastAsia"/>
          <w:szCs w:val="21"/>
        </w:rPr>
        <w:t>解密时间结束前所有投标供应商均完成投标文件解密）后，对投标文件进行开标，并在网上公布开标结果。</w:t>
      </w:r>
    </w:p>
    <w:p w14:paraId="1E9B3562">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r>
        <w:rPr>
          <w:rFonts w:hint="eastAsia" w:asciiTheme="majorEastAsia" w:hAnsiTheme="majorEastAsia" w:eastAsiaTheme="majorEastAsia"/>
          <w:b/>
          <w:bCs/>
          <w:kern w:val="0"/>
          <w:sz w:val="28"/>
          <w:szCs w:val="28"/>
        </w:rPr>
        <w:t>评审要求</w:t>
      </w:r>
    </w:p>
    <w:p w14:paraId="24385AD0">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29．评审委员会组成</w:t>
      </w:r>
    </w:p>
    <w:p w14:paraId="66BA196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29.1网上开标结束后召开评审会议，评审委员会由采购代理机构依法组建，负责评审活动。</w:t>
      </w:r>
    </w:p>
    <w:p w14:paraId="1D034CD9">
      <w:pPr>
        <w:spacing w:line="360" w:lineRule="auto"/>
        <w:ind w:firstLine="411" w:firstLineChars="196"/>
        <w:rPr>
          <w:rFonts w:asciiTheme="majorEastAsia" w:hAnsiTheme="majorEastAsia" w:eastAsiaTheme="majorEastAsia"/>
          <w:szCs w:val="21"/>
        </w:rPr>
      </w:pPr>
      <w:bookmarkStart w:id="43" w:name="_Hlk72436580"/>
      <w:r>
        <w:rPr>
          <w:rFonts w:hint="eastAsia" w:asciiTheme="majorEastAsia" w:hAnsiTheme="majorEastAsia" w:eastAsiaTheme="majorEastAsia"/>
          <w:szCs w:val="21"/>
        </w:rPr>
        <w:t>评审委员会由采购人代表和评审专家组成，成员人数应当为5人以上单数（部分条件下为7人以上单数），其中评审专家不得少于成员总数的三分之二。</w:t>
      </w:r>
      <w:bookmarkEnd w:id="43"/>
      <w:r>
        <w:rPr>
          <w:rFonts w:hint="eastAsia" w:asciiTheme="majorEastAsia" w:hAnsiTheme="majorEastAsia" w:eastAsiaTheme="majorEastAsia"/>
          <w:szCs w:val="21"/>
        </w:rPr>
        <w:t>评定分离项目</w:t>
      </w:r>
      <w:r>
        <w:rPr>
          <w:rFonts w:asciiTheme="majorEastAsia" w:hAnsiTheme="majorEastAsia" w:eastAsiaTheme="majorEastAsia"/>
          <w:szCs w:val="21"/>
        </w:rPr>
        <w:t>评审专家</w:t>
      </w:r>
      <w:r>
        <w:rPr>
          <w:rFonts w:hint="eastAsia" w:asciiTheme="majorEastAsia" w:hAnsiTheme="majorEastAsia" w:eastAsiaTheme="majorEastAsia"/>
          <w:szCs w:val="21"/>
        </w:rPr>
        <w:t>均</w:t>
      </w:r>
      <w:r>
        <w:rPr>
          <w:rFonts w:asciiTheme="majorEastAsia" w:hAnsiTheme="majorEastAsia" w:eastAsiaTheme="majorEastAsia"/>
          <w:szCs w:val="21"/>
        </w:rPr>
        <w:t>由</w:t>
      </w:r>
      <w:r>
        <w:rPr>
          <w:rFonts w:hint="eastAsia" w:asciiTheme="majorEastAsia" w:hAnsiTheme="majorEastAsia" w:eastAsiaTheme="majorEastAsia"/>
          <w:szCs w:val="21"/>
        </w:rPr>
        <w:t>评审专家组成。评审专家一般是从深圳市政府采购评审专家库中随机抽取。采购人代表须持本单位签发的《评审授权书》参加评审。</w:t>
      </w:r>
    </w:p>
    <w:p w14:paraId="63D9E38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29.2评审定标应当遵循公平、公正、科学、择优的原则。</w:t>
      </w:r>
    </w:p>
    <w:p w14:paraId="345D48D0">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29.3评审活动依法进行，任何单位和个人不得非法干预评标过程和结果。</w:t>
      </w:r>
    </w:p>
    <w:p w14:paraId="7C37EE3F">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29.4评审过程中不允许违背评标程序或采用招标文件未载明的评标方法或评标因素进行评标。</w:t>
      </w:r>
    </w:p>
    <w:p w14:paraId="4E138F59">
      <w:pPr>
        <w:spacing w:line="360" w:lineRule="auto"/>
        <w:ind w:firstLine="411" w:firstLineChars="196"/>
        <w:rPr>
          <w:rFonts w:asciiTheme="majorEastAsia" w:hAnsiTheme="majorEastAsia" w:eastAsiaTheme="majorEastAsia"/>
          <w:bCs/>
          <w:szCs w:val="21"/>
        </w:rPr>
      </w:pPr>
      <w:r>
        <w:rPr>
          <w:rFonts w:hint="eastAsia" w:asciiTheme="majorEastAsia" w:hAnsiTheme="majorEastAsia" w:eastAsiaTheme="majorEastAsia"/>
          <w:bCs/>
          <w:szCs w:val="21"/>
        </w:rPr>
        <w:t>29.5 开标后，直到签订合同为止，凡属于对投标文件的审查、澄清、评价和比较的有关资料以及中标候选人的推荐情况、与评审有关的其他任何情况均严格保密（</w:t>
      </w:r>
      <w:r>
        <w:rPr>
          <w:rFonts w:hint="eastAsia" w:asciiTheme="majorEastAsia" w:hAnsiTheme="majorEastAsia" w:eastAsiaTheme="majorEastAsia"/>
          <w:szCs w:val="21"/>
        </w:rPr>
        <w:t>信息公开的内容除外</w:t>
      </w:r>
      <w:r>
        <w:rPr>
          <w:rFonts w:hint="eastAsia" w:asciiTheme="majorEastAsia" w:hAnsiTheme="majorEastAsia" w:eastAsiaTheme="majorEastAsia"/>
          <w:bCs/>
          <w:szCs w:val="21"/>
        </w:rPr>
        <w:t>）。</w:t>
      </w:r>
    </w:p>
    <w:p w14:paraId="699520FB">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30．向评审委员会提供的资料</w:t>
      </w:r>
    </w:p>
    <w:p w14:paraId="36130F0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30.1公开发布的招标文件，包括图纸、服务清单、答疑文件等；</w:t>
      </w:r>
    </w:p>
    <w:p w14:paraId="5FB6DBF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30.2其他评标必须的资料。</w:t>
      </w:r>
    </w:p>
    <w:p w14:paraId="5EB82A0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30.3评审委员会应当认真研究招标文件，至少应了解熟悉以下内容：</w:t>
      </w:r>
    </w:p>
    <w:p w14:paraId="49F0F74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（1）招标的目的；</w:t>
      </w:r>
    </w:p>
    <w:p w14:paraId="30D61110">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（2）招标项目需求的范围和性质；</w:t>
      </w:r>
    </w:p>
    <w:p w14:paraId="3C8D27A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（3）招标文件规定的投标人的资格、财政预算限额、商务条款；</w:t>
      </w:r>
    </w:p>
    <w:p w14:paraId="47CDF81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（4）招标文件规定的评标程序、评标方法和评标因素；</w:t>
      </w:r>
    </w:p>
    <w:p w14:paraId="76CC33E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（5）招标文件所列示的资格性审查表及符合性审查表。</w:t>
      </w:r>
    </w:p>
    <w:p w14:paraId="0F1B7B94">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31．独立评审</w:t>
      </w:r>
    </w:p>
    <w:p w14:paraId="0E9A43A2">
      <w:pPr>
        <w:spacing w:line="360" w:lineRule="auto"/>
        <w:ind w:firstLine="411" w:firstLineChars="196"/>
        <w:rPr>
          <w:rFonts w:asciiTheme="majorEastAsia" w:hAnsiTheme="majorEastAsia" w:eastAsiaTheme="majorEastAsia"/>
          <w:bCs/>
          <w:szCs w:val="21"/>
        </w:rPr>
      </w:pPr>
      <w:r>
        <w:rPr>
          <w:rFonts w:hint="eastAsia" w:asciiTheme="majorEastAsia" w:hAnsiTheme="majorEastAsia" w:eastAsiaTheme="majorEastAsia"/>
          <w:bCs/>
          <w:szCs w:val="21"/>
        </w:rPr>
        <w:t>3</w:t>
      </w:r>
      <w:r>
        <w:rPr>
          <w:rFonts w:asciiTheme="majorEastAsia" w:hAnsiTheme="majorEastAsia" w:eastAsiaTheme="majorEastAsia"/>
          <w:bCs/>
          <w:szCs w:val="21"/>
        </w:rPr>
        <w:t>1</w:t>
      </w:r>
      <w:r>
        <w:rPr>
          <w:rFonts w:hint="eastAsia" w:asciiTheme="majorEastAsia" w:hAnsiTheme="majorEastAsia" w:eastAsiaTheme="majorEastAsia"/>
          <w:bCs/>
          <w:szCs w:val="21"/>
        </w:rPr>
        <w:t>.1</w:t>
      </w:r>
      <w:r>
        <w:rPr>
          <w:rFonts w:hint="eastAsia" w:asciiTheme="majorEastAsia" w:hAnsiTheme="majorEastAsia" w:eastAsiaTheme="majorEastAsia"/>
          <w:szCs w:val="21"/>
        </w:rPr>
        <w:t>评审委员会</w:t>
      </w:r>
      <w:r>
        <w:rPr>
          <w:rFonts w:hint="eastAsia" w:asciiTheme="majorEastAsia" w:hAnsiTheme="majorEastAsia" w:eastAsiaTheme="majorEastAsia"/>
          <w:bCs/>
          <w:szCs w:val="21"/>
        </w:rPr>
        <w:t>成员的评标活动应当独立进行，并应遵循投标文件初审、澄清有关问题、比较与评价、确定中标供应商、编写评审报告的工作程序。</w:t>
      </w:r>
    </w:p>
    <w:p w14:paraId="0C083BB1">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r>
        <w:rPr>
          <w:rFonts w:hint="eastAsia" w:asciiTheme="majorEastAsia" w:hAnsiTheme="majorEastAsia" w:eastAsiaTheme="majorEastAsia"/>
          <w:b/>
          <w:bCs/>
          <w:kern w:val="0"/>
          <w:sz w:val="28"/>
          <w:szCs w:val="28"/>
        </w:rPr>
        <w:t>评审程序及评审方法</w:t>
      </w:r>
    </w:p>
    <w:p w14:paraId="7347ED08">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32．投标文件初审</w:t>
      </w:r>
    </w:p>
    <w:p w14:paraId="474436B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32.1投标文件初审包括资格性审查和符合性审查。</w:t>
      </w:r>
    </w:p>
    <w:p w14:paraId="7B1C14C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资格性审查：依据法律法规和招标文件的规定，对投标文件中的资格证明等进行审查，以确定投标供应商是否具备投标资格。</w:t>
      </w:r>
    </w:p>
    <w:p w14:paraId="4AB8D617">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符合性审查：依据招标文件的规定，对投标文件的有效性、完整性和对招标文件的响应程度进行审查，以确定是否满足符合性审查的要求。</w:t>
      </w:r>
    </w:p>
    <w:p w14:paraId="10E375C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32.2 投标文件初审内容请详见《资格性审查表》和《符合性审查表》部分。投标人若有一条审查不通过则按投标无效处理。</w:t>
      </w:r>
    </w:p>
    <w:p w14:paraId="23C569C6">
      <w:pPr>
        <w:spacing w:line="360" w:lineRule="auto"/>
        <w:ind w:firstLine="411" w:firstLineChars="196"/>
        <w:rPr>
          <w:rFonts w:asciiTheme="majorEastAsia" w:hAnsiTheme="majorEastAsia" w:eastAsiaTheme="majorEastAsia"/>
          <w:bCs/>
          <w:szCs w:val="21"/>
        </w:rPr>
      </w:pPr>
      <w:r>
        <w:rPr>
          <w:rFonts w:hint="eastAsia" w:asciiTheme="majorEastAsia" w:hAnsiTheme="majorEastAsia" w:eastAsiaTheme="majorEastAsia"/>
          <w:bCs/>
          <w:szCs w:val="21"/>
        </w:rPr>
        <w:t>32.3 投标文件初审中关于供应商家数的计算:</w:t>
      </w:r>
    </w:p>
    <w:p w14:paraId="7D475FDB">
      <w:pPr>
        <w:spacing w:line="360" w:lineRule="auto"/>
        <w:ind w:firstLine="411" w:firstLineChars="196"/>
        <w:rPr>
          <w:rFonts w:asciiTheme="majorEastAsia" w:hAnsiTheme="majorEastAsia" w:eastAsiaTheme="majorEastAsia"/>
          <w:bCs/>
          <w:szCs w:val="21"/>
        </w:rPr>
      </w:pPr>
      <w:r>
        <w:rPr>
          <w:rFonts w:hint="eastAsia" w:asciiTheme="majorEastAsia" w:hAnsiTheme="majorEastAsia" w:eastAsiaTheme="majorEastAsia"/>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08451427">
      <w:pPr>
        <w:spacing w:line="360" w:lineRule="auto"/>
        <w:ind w:firstLine="411" w:firstLineChars="196"/>
        <w:rPr>
          <w:rFonts w:asciiTheme="majorEastAsia" w:hAnsiTheme="majorEastAsia" w:eastAsiaTheme="majorEastAsia"/>
          <w:bCs/>
          <w:szCs w:val="21"/>
        </w:rPr>
      </w:pPr>
      <w:r>
        <w:rPr>
          <w:rFonts w:hint="eastAsia" w:asciiTheme="majorEastAsia" w:hAnsiTheme="majorEastAsia" w:eastAsiaTheme="majorEastAsia"/>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3CEA2F05">
      <w:pPr>
        <w:spacing w:line="360" w:lineRule="auto"/>
        <w:ind w:firstLine="411" w:firstLineChars="196"/>
        <w:rPr>
          <w:rFonts w:asciiTheme="majorEastAsia" w:hAnsiTheme="majorEastAsia" w:eastAsiaTheme="majorEastAsia"/>
          <w:bCs/>
          <w:szCs w:val="21"/>
        </w:rPr>
      </w:pPr>
      <w:r>
        <w:rPr>
          <w:rFonts w:hint="eastAsia" w:asciiTheme="majorEastAsia" w:hAnsiTheme="majorEastAsia" w:eastAsiaTheme="majorEastAsia"/>
          <w:bCs/>
          <w:szCs w:val="21"/>
        </w:rPr>
        <w:t>32.3.3非单一产品采购项目，采购人应当根据采购项目技术构成、产品价格比重等合理确定核心产品，并在招标文件中载明。多家投标人提供的核心产品品牌相同的，按前两款规定处理。</w:t>
      </w:r>
    </w:p>
    <w:p w14:paraId="0F72A66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32.4投标人投标文件作无效处理的情形，具体包括但不限于以下：</w:t>
      </w:r>
    </w:p>
    <w:p w14:paraId="4BDD466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32.4.1不同投标人的投标文件由同一单位或者同一个人编制，或者由同一个人分阶段参与编制；</w:t>
      </w:r>
    </w:p>
    <w:p w14:paraId="1076E419">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32.4.</w:t>
      </w:r>
      <w:r>
        <w:rPr>
          <w:rFonts w:hint="eastAsia" w:asciiTheme="majorEastAsia" w:hAnsiTheme="majorEastAsia" w:eastAsiaTheme="majorEastAsia"/>
          <w:szCs w:val="21"/>
        </w:rPr>
        <w:t>2不同投标人委托同一单位或者个人办理投标事宜；</w:t>
      </w:r>
    </w:p>
    <w:p w14:paraId="48DE555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32.4.3不同投标人的投标文件载明的项目管理成员或者联系人员为同一人；</w:t>
      </w:r>
    </w:p>
    <w:p w14:paraId="3A17D0B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32.4.4不同投标人的投标文件异常一致或者投标报价呈规律性差异；</w:t>
      </w:r>
    </w:p>
    <w:p w14:paraId="754F7E10">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32.4.5</w:t>
      </w:r>
      <w:r>
        <w:rPr>
          <w:rFonts w:asciiTheme="majorEastAsia" w:hAnsiTheme="majorEastAsia" w:eastAsiaTheme="majorEastAsia"/>
          <w:szCs w:val="21"/>
        </w:rPr>
        <w:t>不同投标供应商的投标文件或部分投标文件相互混装</w:t>
      </w:r>
      <w:r>
        <w:rPr>
          <w:rFonts w:hint="eastAsia" w:asciiTheme="majorEastAsia" w:hAnsiTheme="majorEastAsia" w:eastAsiaTheme="majorEastAsia"/>
          <w:szCs w:val="21"/>
        </w:rPr>
        <w:t>；</w:t>
      </w:r>
    </w:p>
    <w:p w14:paraId="5A884EEE">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32.4.6投标供应商之间相互约定给予未中标的供应商利益补偿；</w:t>
      </w:r>
    </w:p>
    <w:p w14:paraId="5D2EA6F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32.4.7不同投标供应商的法定代表人、主要经营负责人、项目投标授权代表人、项目负责人、主要技术人员为同一人、属同一单位或者同一单位缴纳社会保险；</w:t>
      </w:r>
    </w:p>
    <w:p w14:paraId="466A2A8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32.4.8不同投标供应商的投标文件内容存在非正常一致；</w:t>
      </w:r>
    </w:p>
    <w:p w14:paraId="12244A6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32.4.9在同一单位工作人员为两家以上（含两家）供应商进行同一项投标活动；</w:t>
      </w:r>
    </w:p>
    <w:p w14:paraId="048DE54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32.4.10主管部门依照法律、法规认定的其他情形。</w:t>
      </w:r>
    </w:p>
    <w:p w14:paraId="45EB3E0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32.5对不属于《资格性审查表》和《符合性审查表》所列的其他情形，除专用条款另有规定和32.4条款所列情形外，不得作为投标无效的理由。</w:t>
      </w:r>
    </w:p>
    <w:p w14:paraId="236C7A45">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33．澄清有关问题</w:t>
      </w:r>
    </w:p>
    <w:p w14:paraId="1E8E237A">
      <w:pPr>
        <w:spacing w:line="360" w:lineRule="auto"/>
        <w:ind w:firstLine="411" w:firstLineChars="196"/>
        <w:rPr>
          <w:rFonts w:asciiTheme="majorEastAsia" w:hAnsiTheme="majorEastAsia" w:eastAsiaTheme="majorEastAsia"/>
          <w:szCs w:val="21"/>
        </w:rPr>
      </w:pPr>
      <w:bookmarkStart w:id="44" w:name="_Hlk71407321"/>
      <w:r>
        <w:rPr>
          <w:rFonts w:hint="eastAsia" w:asciiTheme="majorEastAsia" w:hAnsiTheme="majorEastAsia" w:eastAsiaTheme="majorEastAsia"/>
          <w:szCs w:val="21"/>
        </w:rPr>
        <w:t>3</w:t>
      </w:r>
      <w:r>
        <w:rPr>
          <w:rFonts w:asciiTheme="majorEastAsia" w:hAnsiTheme="majorEastAsia" w:eastAsiaTheme="majorEastAsia"/>
          <w:szCs w:val="21"/>
        </w:rPr>
        <w:t>3.1</w:t>
      </w:r>
      <w:r>
        <w:rPr>
          <w:rFonts w:hint="eastAsia" w:asciiTheme="majorEastAsia" w:hAnsiTheme="majorEastAsia" w:eastAsiaTheme="majorEastAsia"/>
          <w:szCs w:val="21"/>
        </w:rPr>
        <w:t>对招标文件中描述有歧义或前后不一致的地方（不含</w:t>
      </w:r>
      <w:r>
        <w:rPr>
          <w:rFonts w:asciiTheme="majorEastAsia" w:hAnsiTheme="majorEastAsia" w:eastAsiaTheme="majorEastAsia"/>
          <w:szCs w:val="21"/>
        </w:rPr>
        <w:t>招标文件存在歧义、重大缺陷导致评</w:t>
      </w:r>
      <w:r>
        <w:rPr>
          <w:rFonts w:hint="eastAsia" w:asciiTheme="majorEastAsia" w:hAnsiTheme="majorEastAsia" w:eastAsiaTheme="majorEastAsia"/>
          <w:szCs w:val="21"/>
        </w:rPr>
        <w:t>审</w:t>
      </w:r>
      <w:r>
        <w:rPr>
          <w:rFonts w:asciiTheme="majorEastAsia" w:hAnsiTheme="majorEastAsia" w:eastAsiaTheme="majorEastAsia"/>
          <w:szCs w:val="21"/>
        </w:rPr>
        <w:t>工作无法进行</w:t>
      </w:r>
      <w:r>
        <w:rPr>
          <w:rFonts w:hint="eastAsia" w:asciiTheme="majorEastAsia" w:hAnsiTheme="majorEastAsia" w:eastAsiaTheme="majorEastAsia"/>
          <w:szCs w:val="21"/>
        </w:rPr>
        <w:t>的情况），评审委员会有权进行评判，但对同一条款的评判应适用于每个投标人。</w:t>
      </w:r>
      <w:bookmarkEnd w:id="44"/>
    </w:p>
    <w:p w14:paraId="05BE328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w:t>
      </w:r>
      <w:r>
        <w:rPr>
          <w:rFonts w:asciiTheme="majorEastAsia" w:hAnsiTheme="majorEastAsia" w:eastAsiaTheme="majorEastAsia"/>
          <w:szCs w:val="21"/>
        </w:rPr>
        <w:t>3.2评</w:t>
      </w:r>
      <w:r>
        <w:rPr>
          <w:rFonts w:hint="eastAsia" w:asciiTheme="majorEastAsia" w:hAnsiTheme="majorEastAsia" w:eastAsiaTheme="majorEastAsia"/>
          <w:szCs w:val="21"/>
        </w:rPr>
        <w:t>审</w:t>
      </w:r>
      <w:r>
        <w:rPr>
          <w:rFonts w:asciiTheme="majorEastAsia" w:hAnsiTheme="majorEastAsia" w:eastAsiaTheme="majorEastAsia"/>
          <w:szCs w:val="21"/>
        </w:rPr>
        <w:t>委员会发现招标文件存在歧义、重大缺陷导致评</w:t>
      </w:r>
      <w:r>
        <w:rPr>
          <w:rFonts w:hint="eastAsia" w:asciiTheme="majorEastAsia" w:hAnsiTheme="majorEastAsia" w:eastAsiaTheme="majorEastAsia"/>
          <w:szCs w:val="21"/>
        </w:rPr>
        <w:t>审</w:t>
      </w:r>
      <w:r>
        <w:rPr>
          <w:rFonts w:asciiTheme="majorEastAsia" w:hAnsiTheme="majorEastAsia" w:eastAsiaTheme="majorEastAsia"/>
          <w:szCs w:val="21"/>
        </w:rPr>
        <w:t>工作无法进行，或者招标文件内容违反国家有关强制性规定的，应当停止评</w:t>
      </w:r>
      <w:r>
        <w:rPr>
          <w:rFonts w:hint="eastAsia" w:asciiTheme="majorEastAsia" w:hAnsiTheme="majorEastAsia" w:eastAsiaTheme="majorEastAsia"/>
          <w:szCs w:val="21"/>
        </w:rPr>
        <w:t>审</w:t>
      </w:r>
      <w:r>
        <w:rPr>
          <w:rFonts w:asciiTheme="majorEastAsia" w:hAnsiTheme="majorEastAsia" w:eastAsiaTheme="majorEastAsia"/>
          <w:szCs w:val="21"/>
        </w:rPr>
        <w:t>工作，与</w:t>
      </w:r>
      <w:r>
        <w:rPr>
          <w:rFonts w:hint="eastAsia" w:asciiTheme="majorEastAsia" w:hAnsiTheme="majorEastAsia" w:eastAsiaTheme="majorEastAsia"/>
          <w:szCs w:val="21"/>
        </w:rPr>
        <w:t>采购代理机构</w:t>
      </w:r>
      <w:r>
        <w:rPr>
          <w:rFonts w:asciiTheme="majorEastAsia" w:hAnsiTheme="majorEastAsia" w:eastAsiaTheme="majorEastAsia"/>
          <w:szCs w:val="21"/>
        </w:rPr>
        <w:t>沟通并作书面记录。</w:t>
      </w:r>
      <w:r>
        <w:rPr>
          <w:rFonts w:hint="eastAsia" w:asciiTheme="majorEastAsia" w:hAnsiTheme="majorEastAsia" w:eastAsiaTheme="majorEastAsia"/>
          <w:szCs w:val="21"/>
        </w:rPr>
        <w:t>经</w:t>
      </w:r>
      <w:r>
        <w:rPr>
          <w:rFonts w:asciiTheme="majorEastAsia" w:hAnsiTheme="majorEastAsia" w:eastAsiaTheme="majorEastAsia"/>
          <w:szCs w:val="21"/>
        </w:rPr>
        <w:t>确认后，</w:t>
      </w:r>
      <w:r>
        <w:rPr>
          <w:rFonts w:hint="eastAsia" w:asciiTheme="majorEastAsia" w:hAnsiTheme="majorEastAsia" w:eastAsiaTheme="majorEastAsia"/>
          <w:szCs w:val="21"/>
        </w:rPr>
        <w:t>项目</w:t>
      </w:r>
      <w:r>
        <w:rPr>
          <w:rFonts w:asciiTheme="majorEastAsia" w:hAnsiTheme="majorEastAsia" w:eastAsiaTheme="majorEastAsia"/>
          <w:szCs w:val="21"/>
        </w:rPr>
        <w:t>应当修改招标文件，重新组织采购活动。</w:t>
      </w:r>
    </w:p>
    <w:p w14:paraId="2E9E232D">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33.3</w:t>
      </w:r>
      <w:r>
        <w:rPr>
          <w:rFonts w:hint="eastAsia" w:asciiTheme="majorEastAsia" w:hAnsiTheme="majorEastAsia" w:eastAsiaTheme="majorEastAsia"/>
          <w:szCs w:val="21"/>
        </w:rPr>
        <w:t>对于投标文件中含义不明确、同类问题表述不一致或者有明显文字和计算错误的内容，评审委员会应当以书面形式要求投标人作出必要的澄清、说明或者补正。</w:t>
      </w:r>
    </w:p>
    <w:p w14:paraId="0FD0E3B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0C21406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根据本通用条款第34条，凡属于评审委员会在评审中发现的算术错误进行核实的修改不在此列。</w:t>
      </w:r>
    </w:p>
    <w:p w14:paraId="3D4A3F82">
      <w:pPr>
        <w:spacing w:line="360" w:lineRule="auto"/>
        <w:rPr>
          <w:rFonts w:asciiTheme="majorEastAsia" w:hAnsiTheme="majorEastAsia" w:eastAsiaTheme="majorEastAsia"/>
          <w:b/>
          <w:bCs/>
          <w:szCs w:val="21"/>
        </w:rPr>
      </w:pPr>
      <w:bookmarkStart w:id="45" w:name="_Toc100052400"/>
      <w:bookmarkStart w:id="46" w:name="_Toc73521581"/>
      <w:bookmarkStart w:id="47" w:name="_Toc73518151"/>
      <w:bookmarkStart w:id="48" w:name="_Toc73517673"/>
      <w:bookmarkStart w:id="49" w:name="_Toc73521669"/>
      <w:r>
        <w:rPr>
          <w:rFonts w:hint="eastAsia" w:asciiTheme="majorEastAsia" w:hAnsiTheme="majorEastAsia" w:eastAsiaTheme="majorEastAsia"/>
          <w:b/>
          <w:bCs/>
          <w:szCs w:val="21"/>
        </w:rPr>
        <w:t>34．错误的修正</w:t>
      </w:r>
      <w:bookmarkEnd w:id="45"/>
      <w:bookmarkEnd w:id="46"/>
      <w:bookmarkEnd w:id="47"/>
      <w:bookmarkEnd w:id="48"/>
      <w:bookmarkEnd w:id="49"/>
    </w:p>
    <w:p w14:paraId="4506A556">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投标文件报价出现前后不一致的，除专用条款另有规定外，按照下列规定修正：</w:t>
      </w:r>
    </w:p>
    <w:p w14:paraId="0614BFE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34.1投标文件中开标一览表投标报价内容与投标文件中投标报价相应内容不一致的，以开标一览表为准；</w:t>
      </w:r>
    </w:p>
    <w:p w14:paraId="12C4DA4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34.2大写金额和小写金额不一致的，以大写金额为准；</w:t>
      </w:r>
    </w:p>
    <w:p w14:paraId="406D667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34.3单价金额小数点或者百分比有明显错位，以开标一览表的总价为准，并修改单价；</w:t>
      </w:r>
    </w:p>
    <w:p w14:paraId="12388B7B">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34.4总价金额与按单价汇总金额不一致的，以单价金额计算结果为准。</w:t>
      </w:r>
    </w:p>
    <w:p w14:paraId="0185649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34.5同时出现两种以上不一致的，按照前款规定的顺序修正。修正后的报价按照本通用条款33条的规定，经投标人确认后产生约束力，投标人不确认的，其投标无效。</w:t>
      </w:r>
    </w:p>
    <w:p w14:paraId="767933AA">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35．投标文件的比较与评价</w:t>
      </w:r>
    </w:p>
    <w:p w14:paraId="0969939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343E35D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评审委员会成员对需要共同认定的事项存在争议的，应当按照少数服从多数的原则作出结论。持不同意见的评审委员会成员应当书面作出说明，否则视为无异议。</w:t>
      </w:r>
    </w:p>
    <w:p w14:paraId="6AE58D6B">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36. 实地考察或资料查验</w:t>
      </w:r>
    </w:p>
    <w:p w14:paraId="1D88561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36.1在评审过程中，评审委员会有权决定是否对本项目投标人进行实地考察或资料查验（原件）。投标人应随时做好接受实地考察或资料查验的准备。</w:t>
      </w:r>
    </w:p>
    <w:p w14:paraId="4B21F75A">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37．评审方法</w:t>
      </w:r>
    </w:p>
    <w:p w14:paraId="54EA862F">
      <w:pPr>
        <w:spacing w:line="360" w:lineRule="auto"/>
        <w:ind w:firstLine="413" w:firstLineChars="196"/>
        <w:rPr>
          <w:rFonts w:asciiTheme="majorEastAsia" w:hAnsiTheme="majorEastAsia" w:eastAsiaTheme="majorEastAsia"/>
          <w:b/>
          <w:bCs/>
          <w:szCs w:val="21"/>
        </w:rPr>
      </w:pPr>
      <w:r>
        <w:rPr>
          <w:rFonts w:hint="eastAsia" w:asciiTheme="majorEastAsia" w:hAnsiTheme="majorEastAsia" w:eastAsiaTheme="majorEastAsia"/>
          <w:b/>
          <w:bCs/>
          <w:szCs w:val="21"/>
        </w:rPr>
        <w:t>37.1.1最低价法</w:t>
      </w:r>
    </w:p>
    <w:p w14:paraId="646E0E32">
      <w:pPr>
        <w:spacing w:line="360" w:lineRule="auto"/>
        <w:ind w:firstLine="411" w:firstLineChars="196"/>
        <w:rPr>
          <w:rFonts w:asciiTheme="majorEastAsia" w:hAnsiTheme="majorEastAsia" w:eastAsiaTheme="majorEastAsia"/>
          <w:szCs w:val="21"/>
        </w:rPr>
      </w:pPr>
      <w:bookmarkStart w:id="50" w:name="_Hlk72438142"/>
      <w:r>
        <w:rPr>
          <w:rFonts w:asciiTheme="majorEastAsia" w:hAnsiTheme="majorEastAsia" w:eastAsiaTheme="majorEastAsia"/>
          <w:szCs w:val="21"/>
        </w:rPr>
        <w:t>最低价法，是指</w:t>
      </w:r>
      <w:r>
        <w:rPr>
          <w:rFonts w:hint="eastAsia" w:asciiTheme="majorEastAsia" w:hAnsiTheme="majorEastAsia" w:eastAsiaTheme="majorEastAsia"/>
          <w:szCs w:val="21"/>
        </w:rPr>
        <w:t>完全</w:t>
      </w:r>
      <w:r>
        <w:rPr>
          <w:rFonts w:asciiTheme="majorEastAsia" w:hAnsiTheme="majorEastAsia" w:eastAsiaTheme="majorEastAsia"/>
          <w:szCs w:val="21"/>
        </w:rPr>
        <w:t>满足招标文件实质性要求，</w:t>
      </w:r>
      <w:r>
        <w:rPr>
          <w:rFonts w:hint="eastAsia" w:asciiTheme="majorEastAsia" w:hAnsiTheme="majorEastAsia" w:eastAsiaTheme="majorEastAsia"/>
          <w:szCs w:val="21"/>
        </w:rPr>
        <w:t>按照报价由低到高的顺序，依据招标文件中规定的数量或者比例推荐候选中标供应商。</w:t>
      </w:r>
    </w:p>
    <w:p w14:paraId="5A86B184">
      <w:pPr>
        <w:spacing w:line="360" w:lineRule="auto"/>
        <w:ind w:firstLine="413" w:firstLineChars="196"/>
        <w:rPr>
          <w:rFonts w:asciiTheme="majorEastAsia" w:hAnsiTheme="majorEastAsia" w:eastAsiaTheme="majorEastAsia"/>
          <w:b/>
          <w:bCs/>
          <w:szCs w:val="21"/>
        </w:rPr>
      </w:pPr>
      <w:r>
        <w:rPr>
          <w:rFonts w:hint="eastAsia" w:asciiTheme="majorEastAsia" w:hAnsiTheme="majorEastAsia" w:eastAsiaTheme="majorEastAsia"/>
          <w:b/>
          <w:bCs/>
          <w:szCs w:val="21"/>
        </w:rPr>
        <w:t>37.1.2综合评分法</w:t>
      </w:r>
    </w:p>
    <w:p w14:paraId="6FF5C8A0">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综合评分法，是指</w:t>
      </w:r>
      <w:r>
        <w:rPr>
          <w:rFonts w:hint="eastAsia" w:asciiTheme="majorEastAsia" w:hAnsiTheme="majorEastAsia" w:eastAsiaTheme="majorEastAsia"/>
          <w:szCs w:val="21"/>
        </w:rPr>
        <w:t>在</w:t>
      </w:r>
      <w:r>
        <w:rPr>
          <w:rFonts w:asciiTheme="majorEastAsia" w:hAnsiTheme="majorEastAsia" w:eastAsiaTheme="majorEastAsia"/>
          <w:szCs w:val="21"/>
        </w:rPr>
        <w:t>满足招标文件全部实质性要求</w:t>
      </w:r>
      <w:r>
        <w:rPr>
          <w:rFonts w:hint="eastAsia" w:asciiTheme="majorEastAsia" w:hAnsiTheme="majorEastAsia" w:eastAsiaTheme="majorEastAsia"/>
          <w:szCs w:val="21"/>
        </w:rPr>
        <w:t>的前提下</w:t>
      </w:r>
      <w:r>
        <w:rPr>
          <w:rFonts w:asciiTheme="majorEastAsia" w:hAnsiTheme="majorEastAsia" w:eastAsiaTheme="majorEastAsia"/>
          <w:szCs w:val="21"/>
        </w:rPr>
        <w:t>，</w:t>
      </w:r>
      <w:r>
        <w:rPr>
          <w:rFonts w:hint="eastAsia" w:asciiTheme="majorEastAsia" w:hAnsiTheme="majorEastAsia" w:eastAsiaTheme="majorEastAsia"/>
          <w:szCs w:val="21"/>
        </w:rPr>
        <w:t>按照招标文件中规定的各项因素进行综合评审，评审总得分排名前列的投标人，作为推荐的候选中标供应商。</w:t>
      </w:r>
      <w:bookmarkEnd w:id="50"/>
    </w:p>
    <w:p w14:paraId="574D7877">
      <w:pPr>
        <w:spacing w:line="360" w:lineRule="auto"/>
        <w:ind w:firstLine="413" w:firstLineChars="196"/>
        <w:rPr>
          <w:rFonts w:asciiTheme="majorEastAsia" w:hAnsiTheme="majorEastAsia" w:eastAsiaTheme="majorEastAsia"/>
          <w:b/>
          <w:bCs/>
          <w:szCs w:val="21"/>
        </w:rPr>
      </w:pPr>
      <w:r>
        <w:rPr>
          <w:rFonts w:hint="eastAsia" w:asciiTheme="majorEastAsia" w:hAnsiTheme="majorEastAsia" w:eastAsiaTheme="majorEastAsia"/>
          <w:b/>
          <w:bCs/>
          <w:szCs w:val="21"/>
        </w:rPr>
        <w:t>37.2 本项目采用的评审方法见本项目招标文件第一册“专用条款”的相关内容。</w:t>
      </w:r>
    </w:p>
    <w:p w14:paraId="08CFA65F">
      <w:pPr>
        <w:spacing w:line="360" w:lineRule="auto"/>
        <w:ind w:firstLine="413" w:firstLineChars="196"/>
        <w:rPr>
          <w:rFonts w:asciiTheme="majorEastAsia" w:hAnsiTheme="majorEastAsia" w:eastAsiaTheme="majorEastAsia"/>
          <w:b/>
          <w:bCs/>
          <w:szCs w:val="21"/>
        </w:rPr>
      </w:pPr>
      <w:r>
        <w:rPr>
          <w:rFonts w:hint="eastAsia" w:asciiTheme="majorEastAsia" w:hAnsiTheme="majorEastAsia" w:eastAsiaTheme="majorEastAsia"/>
          <w:b/>
          <w:bCs/>
          <w:szCs w:val="21"/>
        </w:rPr>
        <w:t>37.3重新评审的情形</w:t>
      </w:r>
    </w:p>
    <w:p w14:paraId="1368F9B3">
      <w:pPr>
        <w:spacing w:line="360" w:lineRule="auto"/>
        <w:ind w:firstLine="411" w:firstLineChars="196"/>
        <w:rPr>
          <w:rFonts w:asciiTheme="majorEastAsia" w:hAnsiTheme="majorEastAsia" w:eastAsiaTheme="majorEastAsia"/>
          <w:b/>
          <w:bCs/>
          <w:szCs w:val="21"/>
        </w:rPr>
      </w:pPr>
      <w:r>
        <w:rPr>
          <w:rFonts w:hint="eastAsia" w:cs="宋体" w:asciiTheme="majorEastAsia" w:hAnsiTheme="majorEastAsia" w:eastAsiaTheme="majorEastAsia"/>
          <w:szCs w:val="21"/>
        </w:rPr>
        <w:t>评审结果汇总完成后，除下列情形外，任何人不得修改评审结果：</w:t>
      </w:r>
    </w:p>
    <w:p w14:paraId="05E16085">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37.3.1分值汇总计算错误的；</w:t>
      </w:r>
    </w:p>
    <w:p w14:paraId="197D5E5A">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37.3.2分项评分超出评分标准范围的；</w:t>
      </w:r>
    </w:p>
    <w:p w14:paraId="60118BFF">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37.3.3评审委员会成员对客观评审因素评分不一致的；</w:t>
      </w:r>
    </w:p>
    <w:p w14:paraId="03051268">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37.3.4经评审委员会认定评分畸高、畸低的。</w:t>
      </w:r>
    </w:p>
    <w:p w14:paraId="5C1F9B45">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19B42BF6">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投标人对本条第一款情形提出质疑的，采购人或者采购代理机构可以组织原评审委员会进行重新评审，重新评审改变评审结果的，应当书面报告本级财政部门。</w:t>
      </w:r>
    </w:p>
    <w:p w14:paraId="5EB8EED7">
      <w:pPr>
        <w:spacing w:line="360" w:lineRule="auto"/>
        <w:ind w:firstLine="413" w:firstLineChars="196"/>
        <w:rPr>
          <w:rFonts w:asciiTheme="majorEastAsia" w:hAnsiTheme="majorEastAsia" w:eastAsiaTheme="majorEastAsia"/>
          <w:b/>
          <w:bCs/>
          <w:szCs w:val="21"/>
        </w:rPr>
      </w:pPr>
      <w:r>
        <w:rPr>
          <w:rFonts w:hint="eastAsia" w:asciiTheme="majorEastAsia" w:hAnsiTheme="majorEastAsia" w:eastAsiaTheme="majorEastAsia"/>
          <w:b/>
          <w:bCs/>
          <w:szCs w:val="21"/>
        </w:rPr>
        <w:t xml:space="preserve"> 37.4重新组建评审委员会的情形</w:t>
      </w:r>
    </w:p>
    <w:p w14:paraId="24890885">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评审委员会或者其成员存在下列情形导致评审结果无效的，重新组建评审委员会进行评标，并书面报告本级财政部门：</w:t>
      </w:r>
    </w:p>
    <w:p w14:paraId="69F99BEC">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37.4.1评审委员会组成不符合《政府采购货物和服务招标投标管理办法》规定的；</w:t>
      </w:r>
    </w:p>
    <w:p w14:paraId="1ED9D23F">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37.4.2有《政府采购货物和服务招标投标管理办法》第六十二条第一至五项情形的；</w:t>
      </w:r>
    </w:p>
    <w:p w14:paraId="003BC17E">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37.4.3评审委员会及其成员独立评标受到非法干预的；</w:t>
      </w:r>
    </w:p>
    <w:p w14:paraId="0AA248C8">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37.4.4有政府采购法实施条例第七十五条规定的违法行为的。</w:t>
      </w:r>
    </w:p>
    <w:p w14:paraId="3E8B1F0D">
      <w:pPr>
        <w:spacing w:line="360" w:lineRule="auto"/>
        <w:ind w:firstLine="411" w:firstLineChars="196"/>
        <w:rPr>
          <w:rFonts w:cs="宋体" w:asciiTheme="majorEastAsia" w:hAnsiTheme="majorEastAsia" w:eastAsiaTheme="majorEastAsia"/>
          <w:szCs w:val="21"/>
        </w:rPr>
      </w:pPr>
      <w:r>
        <w:rPr>
          <w:rFonts w:hint="eastAsia" w:cs="宋体" w:asciiTheme="majorEastAsia" w:hAnsiTheme="majorEastAsia" w:eastAsiaTheme="majorEastAsia"/>
          <w:szCs w:val="21"/>
        </w:rPr>
        <w:t>有违法违规行为的原评审委员会成员不得参加重新组建的评审委员会。</w:t>
      </w:r>
    </w:p>
    <w:p w14:paraId="499B8B08">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r>
        <w:rPr>
          <w:rFonts w:hint="eastAsia" w:asciiTheme="majorEastAsia" w:hAnsiTheme="majorEastAsia" w:eastAsiaTheme="majorEastAsia"/>
          <w:b/>
          <w:bCs/>
          <w:kern w:val="0"/>
          <w:sz w:val="28"/>
          <w:szCs w:val="28"/>
        </w:rPr>
        <w:t>定标及公示</w:t>
      </w:r>
    </w:p>
    <w:p w14:paraId="01AB628B">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38．定标方法</w:t>
      </w:r>
    </w:p>
    <w:p w14:paraId="2C4A8D7A">
      <w:pPr>
        <w:spacing w:line="360" w:lineRule="auto"/>
        <w:ind w:firstLine="411" w:firstLineChars="196"/>
        <w:rPr>
          <w:rFonts w:asciiTheme="majorEastAsia" w:hAnsiTheme="majorEastAsia" w:eastAsiaTheme="majorEastAsia"/>
          <w:szCs w:val="21"/>
        </w:rPr>
      </w:pPr>
      <w:bookmarkStart w:id="51" w:name="_Hlk73782795"/>
      <w:r>
        <w:rPr>
          <w:rFonts w:hint="eastAsia" w:asciiTheme="majorEastAsia" w:hAnsiTheme="majorEastAsia" w:eastAsiaTheme="majorEastAsia"/>
          <w:szCs w:val="21"/>
        </w:rPr>
        <w:t>38.1非评定分离项目定标方法</w:t>
      </w:r>
    </w:p>
    <w:p w14:paraId="62D1A3E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38</w:t>
      </w:r>
      <w:r>
        <w:rPr>
          <w:rFonts w:asciiTheme="majorEastAsia" w:hAnsiTheme="majorEastAsia" w:eastAsiaTheme="majorEastAsia"/>
          <w:szCs w:val="21"/>
        </w:rPr>
        <w:t>.</w:t>
      </w:r>
      <w:r>
        <w:rPr>
          <w:rFonts w:hint="eastAsia" w:asciiTheme="majorEastAsia" w:hAnsiTheme="majorEastAsia" w:eastAsiaTheme="majorEastAsia"/>
          <w:szCs w:val="21"/>
        </w:rPr>
        <w:t>1.1评审委员会依据本项目招标文件所约定的评审方法进行评审和比较，向采购代理机构提交书面评审报告，并根据评审方法比较评价结果从优到劣进行排序，确定候选中标供应商。</w:t>
      </w:r>
    </w:p>
    <w:p w14:paraId="5B96F12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38</w:t>
      </w:r>
      <w:r>
        <w:rPr>
          <w:rFonts w:asciiTheme="majorEastAsia" w:hAnsiTheme="majorEastAsia" w:eastAsiaTheme="majorEastAsia"/>
          <w:szCs w:val="21"/>
        </w:rPr>
        <w:t>.</w:t>
      </w:r>
      <w:r>
        <w:rPr>
          <w:rFonts w:hint="eastAsia" w:asciiTheme="majorEastAsia" w:hAnsiTheme="majorEastAsia" w:eastAsiaTheme="majorEastAsia"/>
          <w:szCs w:val="21"/>
        </w:rPr>
        <w:t>1.2</w:t>
      </w:r>
      <w:r>
        <w:rPr>
          <w:rFonts w:asciiTheme="majorEastAsia" w:hAnsiTheme="majorEastAsia" w:eastAsiaTheme="majorEastAsia"/>
          <w:szCs w:val="21"/>
        </w:rPr>
        <w:t>采用最低价法的，评</w:t>
      </w:r>
      <w:r>
        <w:rPr>
          <w:rFonts w:hint="eastAsia" w:asciiTheme="majorEastAsia" w:hAnsiTheme="majorEastAsia" w:eastAsiaTheme="majorEastAsia"/>
          <w:szCs w:val="21"/>
        </w:rPr>
        <w:t>审</w:t>
      </w:r>
      <w:r>
        <w:rPr>
          <w:rFonts w:asciiTheme="majorEastAsia" w:hAnsiTheme="majorEastAsia" w:eastAsiaTheme="majorEastAsia"/>
          <w:szCs w:val="21"/>
        </w:rPr>
        <w:t>结果按投标报价由低到高顺序排列。投标报价相同的并列。投标文件满足招标文件全部实质性要求且投标报价最低的</w:t>
      </w:r>
      <w:r>
        <w:rPr>
          <w:rFonts w:hint="eastAsia" w:asciiTheme="majorEastAsia" w:hAnsiTheme="majorEastAsia" w:eastAsiaTheme="majorEastAsia"/>
          <w:szCs w:val="21"/>
        </w:rPr>
        <w:t>投标人为</w:t>
      </w:r>
      <w:bookmarkStart w:id="52" w:name="_Hlk73821177"/>
      <w:r>
        <w:rPr>
          <w:rFonts w:hint="eastAsia" w:asciiTheme="majorEastAsia" w:hAnsiTheme="majorEastAsia" w:eastAsiaTheme="majorEastAsia"/>
          <w:szCs w:val="21"/>
        </w:rPr>
        <w:t>中标供应商</w:t>
      </w:r>
      <w:r>
        <w:rPr>
          <w:rFonts w:asciiTheme="majorEastAsia" w:hAnsiTheme="majorEastAsia" w:eastAsiaTheme="majorEastAsia"/>
          <w:szCs w:val="21"/>
        </w:rPr>
        <w:t>（</w:t>
      </w:r>
      <w:r>
        <w:rPr>
          <w:rFonts w:hint="eastAsia" w:asciiTheme="majorEastAsia" w:hAnsiTheme="majorEastAsia" w:eastAsiaTheme="majorEastAsia"/>
          <w:szCs w:val="21"/>
        </w:rPr>
        <w:t>排名</w:t>
      </w:r>
      <w:r>
        <w:rPr>
          <w:rFonts w:asciiTheme="majorEastAsia" w:hAnsiTheme="majorEastAsia" w:eastAsiaTheme="majorEastAsia"/>
          <w:szCs w:val="21"/>
        </w:rPr>
        <w:t>第二</w:t>
      </w:r>
      <w:r>
        <w:rPr>
          <w:rFonts w:hint="eastAsia" w:asciiTheme="majorEastAsia" w:hAnsiTheme="majorEastAsia" w:eastAsiaTheme="majorEastAsia"/>
          <w:szCs w:val="21"/>
        </w:rPr>
        <w:t>的投标人为第一替补中标候选人、排名</w:t>
      </w:r>
      <w:r>
        <w:rPr>
          <w:rFonts w:asciiTheme="majorEastAsia" w:hAnsiTheme="majorEastAsia" w:eastAsiaTheme="majorEastAsia"/>
          <w:szCs w:val="21"/>
        </w:rPr>
        <w:t>第</w:t>
      </w:r>
      <w:r>
        <w:rPr>
          <w:rFonts w:hint="eastAsia" w:asciiTheme="majorEastAsia" w:hAnsiTheme="majorEastAsia" w:eastAsiaTheme="majorEastAsia"/>
          <w:szCs w:val="21"/>
        </w:rPr>
        <w:t>三的投标人为第二替补中标候选人</w:t>
      </w:r>
      <w:bookmarkEnd w:id="52"/>
      <w:r>
        <w:rPr>
          <w:rFonts w:asciiTheme="majorEastAsia" w:hAnsiTheme="majorEastAsia" w:eastAsiaTheme="majorEastAsia"/>
          <w:szCs w:val="21"/>
        </w:rPr>
        <w:t>）。</w:t>
      </w:r>
    </w:p>
    <w:p w14:paraId="59E4E99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38</w:t>
      </w:r>
      <w:r>
        <w:rPr>
          <w:rFonts w:asciiTheme="majorEastAsia" w:hAnsiTheme="majorEastAsia" w:eastAsiaTheme="majorEastAsia"/>
          <w:szCs w:val="21"/>
        </w:rPr>
        <w:t>.</w:t>
      </w:r>
      <w:r>
        <w:rPr>
          <w:rFonts w:hint="eastAsia" w:asciiTheme="majorEastAsia" w:hAnsiTheme="majorEastAsia" w:eastAsiaTheme="majorEastAsia"/>
          <w:szCs w:val="21"/>
        </w:rPr>
        <w:t>1.3</w:t>
      </w:r>
      <w:r>
        <w:rPr>
          <w:rFonts w:asciiTheme="majorEastAsia" w:hAnsiTheme="majorEastAsia" w:eastAsiaTheme="majorEastAsia"/>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Theme="majorEastAsia" w:hAnsiTheme="majorEastAsia" w:eastAsiaTheme="majorEastAsia"/>
          <w:szCs w:val="21"/>
        </w:rPr>
        <w:t>为中标供应商</w:t>
      </w:r>
      <w:r>
        <w:rPr>
          <w:rFonts w:asciiTheme="majorEastAsia" w:hAnsiTheme="majorEastAsia" w:eastAsiaTheme="majorEastAsia"/>
          <w:szCs w:val="21"/>
        </w:rPr>
        <w:t>（</w:t>
      </w:r>
      <w:r>
        <w:rPr>
          <w:rFonts w:hint="eastAsia" w:asciiTheme="majorEastAsia" w:hAnsiTheme="majorEastAsia" w:eastAsiaTheme="majorEastAsia"/>
          <w:szCs w:val="21"/>
        </w:rPr>
        <w:t>中标候选人如不止一名，则推选排名</w:t>
      </w:r>
      <w:r>
        <w:rPr>
          <w:rFonts w:asciiTheme="majorEastAsia" w:hAnsiTheme="majorEastAsia" w:eastAsiaTheme="majorEastAsia"/>
          <w:szCs w:val="21"/>
        </w:rPr>
        <w:t>第二</w:t>
      </w:r>
      <w:r>
        <w:rPr>
          <w:rFonts w:hint="eastAsia" w:asciiTheme="majorEastAsia" w:hAnsiTheme="majorEastAsia" w:eastAsiaTheme="majorEastAsia"/>
          <w:szCs w:val="21"/>
        </w:rPr>
        <w:t>的投标人为第一替补中标候选人、排名</w:t>
      </w:r>
      <w:r>
        <w:rPr>
          <w:rFonts w:asciiTheme="majorEastAsia" w:hAnsiTheme="majorEastAsia" w:eastAsiaTheme="majorEastAsia"/>
          <w:szCs w:val="21"/>
        </w:rPr>
        <w:t>第</w:t>
      </w:r>
      <w:r>
        <w:rPr>
          <w:rFonts w:hint="eastAsia" w:asciiTheme="majorEastAsia" w:hAnsiTheme="majorEastAsia" w:eastAsiaTheme="majorEastAsia"/>
          <w:szCs w:val="21"/>
        </w:rPr>
        <w:t>三的投标人为第二替补中标候选人</w:t>
      </w:r>
      <w:r>
        <w:rPr>
          <w:rFonts w:asciiTheme="majorEastAsia" w:hAnsiTheme="majorEastAsia" w:eastAsiaTheme="majorEastAsia"/>
          <w:szCs w:val="21"/>
        </w:rPr>
        <w:t>）。</w:t>
      </w:r>
      <w:r>
        <w:rPr>
          <w:rFonts w:hint="eastAsia" w:asciiTheme="majorEastAsia" w:hAnsiTheme="majorEastAsia" w:eastAsiaTheme="majorEastAsia"/>
          <w:szCs w:val="21"/>
        </w:rPr>
        <w:t>出现</w:t>
      </w:r>
      <w:r>
        <w:rPr>
          <w:rFonts w:asciiTheme="majorEastAsia" w:hAnsiTheme="majorEastAsia" w:eastAsiaTheme="majorEastAsia"/>
          <w:szCs w:val="21"/>
        </w:rPr>
        <w:t>得分且投标报价相同的并列</w:t>
      </w:r>
      <w:r>
        <w:rPr>
          <w:rFonts w:hint="eastAsia" w:asciiTheme="majorEastAsia" w:hAnsiTheme="majorEastAsia" w:eastAsiaTheme="majorEastAsia"/>
          <w:szCs w:val="21"/>
        </w:rPr>
        <w:t>情况时，采取随机抽取的方式确定，具体操作办法及流程由评审委员会确定。</w:t>
      </w:r>
    </w:p>
    <w:p w14:paraId="5431367E">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38.2评定分离项目定标方法</w:t>
      </w:r>
    </w:p>
    <w:p w14:paraId="754E3C1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06AD131E">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 xml:space="preserve">38.2.2 </w:t>
      </w:r>
      <w:bookmarkStart w:id="53" w:name="_Hlk71469733"/>
      <w:r>
        <w:rPr>
          <w:rFonts w:asciiTheme="majorEastAsia" w:hAnsiTheme="majorEastAsia" w:eastAsiaTheme="majorEastAsia"/>
          <w:szCs w:val="21"/>
        </w:rPr>
        <w:t>适用评定分离的政府采购项目，采用综合评分法评</w:t>
      </w:r>
      <w:r>
        <w:rPr>
          <w:rFonts w:hint="eastAsia" w:asciiTheme="majorEastAsia" w:hAnsiTheme="majorEastAsia" w:eastAsiaTheme="majorEastAsia"/>
          <w:szCs w:val="21"/>
        </w:rPr>
        <w:t>审。评审委员会按照评审结果，推荐</w:t>
      </w:r>
      <w:r>
        <w:rPr>
          <w:rFonts w:asciiTheme="majorEastAsia" w:hAnsiTheme="majorEastAsia" w:eastAsiaTheme="majorEastAsia"/>
          <w:szCs w:val="21"/>
        </w:rPr>
        <w:t>三个合格的候选中标供应商。</w:t>
      </w:r>
    </w:p>
    <w:p w14:paraId="6DEFB38E">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38.2.3</w:t>
      </w:r>
      <w:bookmarkStart w:id="54" w:name="_Hlk71469688"/>
      <w:r>
        <w:rPr>
          <w:rFonts w:asciiTheme="majorEastAsia" w:hAnsiTheme="majorEastAsia" w:eastAsiaTheme="majorEastAsia"/>
          <w:szCs w:val="21"/>
        </w:rPr>
        <w:t>适用评定分离的政府采购项目，</w:t>
      </w:r>
      <w:r>
        <w:rPr>
          <w:rFonts w:hint="eastAsia" w:asciiTheme="majorEastAsia" w:hAnsiTheme="majorEastAsia" w:eastAsiaTheme="majorEastAsia"/>
          <w:szCs w:val="21"/>
        </w:rPr>
        <w:t>按照自定法确定中标供应商：自定法是指采购人组织定标委员会，由定标委员会在三家候选中标供应商中确定中标供应商。</w:t>
      </w:r>
      <w:bookmarkEnd w:id="53"/>
      <w:bookmarkEnd w:id="54"/>
    </w:p>
    <w:p w14:paraId="633C4C5B">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38.2.4</w:t>
      </w:r>
      <w:r>
        <w:rPr>
          <w:rFonts w:hint="eastAsia" w:asciiTheme="majorEastAsia" w:hAnsiTheme="majorEastAsia" w:eastAsiaTheme="majorEastAsia"/>
          <w:szCs w:val="21"/>
        </w:rPr>
        <w:t>采购代理机构</w:t>
      </w:r>
      <w:r>
        <w:rPr>
          <w:rFonts w:asciiTheme="majorEastAsia" w:hAnsiTheme="majorEastAsia" w:eastAsiaTheme="majorEastAsia"/>
          <w:szCs w:val="21"/>
        </w:rPr>
        <w:t>应当自评审结束之日起两个工作日内将候选中标供应商名单及其投标文件、评审报告送交采购人</w:t>
      </w:r>
      <w:r>
        <w:rPr>
          <w:rFonts w:hint="eastAsia" w:asciiTheme="majorEastAsia" w:hAnsiTheme="majorEastAsia" w:eastAsiaTheme="majorEastAsia"/>
          <w:szCs w:val="21"/>
        </w:rPr>
        <w:t>。</w:t>
      </w:r>
      <w:r>
        <w:rPr>
          <w:rFonts w:asciiTheme="majorEastAsia" w:hAnsiTheme="majorEastAsia" w:eastAsiaTheme="majorEastAsia"/>
          <w:szCs w:val="21"/>
        </w:rPr>
        <w:t>采购人应当安排专人对定标过程进行书面记录，形成定标报告，作为采购文件的组成部分存档，并及时将定标结果反馈</w:t>
      </w:r>
      <w:r>
        <w:rPr>
          <w:rFonts w:hint="eastAsia" w:asciiTheme="majorEastAsia" w:hAnsiTheme="majorEastAsia" w:eastAsiaTheme="majorEastAsia"/>
          <w:szCs w:val="21"/>
        </w:rPr>
        <w:t>采购代理机构。具体定标程序及相关要求以按照《</w:t>
      </w:r>
      <w:r>
        <w:rPr>
          <w:rFonts w:asciiTheme="majorEastAsia" w:hAnsiTheme="majorEastAsia" w:eastAsiaTheme="majorEastAsia"/>
          <w:szCs w:val="21"/>
        </w:rPr>
        <w:t>深圳市财政局关于印发</w:t>
      </w:r>
      <w:r>
        <w:rPr>
          <w:rFonts w:hint="eastAsia" w:asciiTheme="majorEastAsia" w:hAnsiTheme="majorEastAsia" w:eastAsiaTheme="majorEastAsia"/>
          <w:szCs w:val="21"/>
        </w:rPr>
        <w:t>〈</w:t>
      </w:r>
      <w:r>
        <w:rPr>
          <w:rFonts w:asciiTheme="majorEastAsia" w:hAnsiTheme="majorEastAsia" w:eastAsiaTheme="majorEastAsia"/>
          <w:szCs w:val="21"/>
        </w:rPr>
        <w:t>深圳市政府采购评标定标分离管理办法</w:t>
      </w:r>
      <w:r>
        <w:rPr>
          <w:rFonts w:hint="eastAsia" w:asciiTheme="majorEastAsia" w:hAnsiTheme="majorEastAsia" w:eastAsiaTheme="majorEastAsia"/>
          <w:szCs w:val="21"/>
        </w:rPr>
        <w:t>〉</w:t>
      </w:r>
      <w:r>
        <w:rPr>
          <w:rFonts w:asciiTheme="majorEastAsia" w:hAnsiTheme="majorEastAsia" w:eastAsiaTheme="majorEastAsia"/>
          <w:szCs w:val="21"/>
        </w:rPr>
        <w:t>的通知</w:t>
      </w:r>
      <w:r>
        <w:rPr>
          <w:rFonts w:hint="eastAsia" w:asciiTheme="majorEastAsia" w:hAnsiTheme="majorEastAsia" w:eastAsiaTheme="majorEastAsia"/>
          <w:szCs w:val="21"/>
        </w:rPr>
        <w:t>》（深财规【2</w:t>
      </w:r>
      <w:r>
        <w:rPr>
          <w:rFonts w:asciiTheme="majorEastAsia" w:hAnsiTheme="majorEastAsia" w:eastAsiaTheme="majorEastAsia"/>
          <w:szCs w:val="21"/>
        </w:rPr>
        <w:t>020</w:t>
      </w:r>
      <w:r>
        <w:rPr>
          <w:rFonts w:hint="eastAsia" w:asciiTheme="majorEastAsia" w:hAnsiTheme="majorEastAsia" w:eastAsiaTheme="majorEastAsia"/>
          <w:szCs w:val="21"/>
        </w:rPr>
        <w:t>】1号）执行。</w:t>
      </w:r>
    </w:p>
    <w:p w14:paraId="6BF6C8C6">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说明：采购人及投标供应商应按照上述方法提前做好相关准备。</w:t>
      </w:r>
    </w:p>
    <w:p w14:paraId="31F8FC1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38.3专用条款另有规定的，按专用条款相关要求定标。</w:t>
      </w:r>
      <w:bookmarkEnd w:id="51"/>
    </w:p>
    <w:p w14:paraId="31B6C647">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39．编写评审报告</w:t>
      </w:r>
    </w:p>
    <w:p w14:paraId="23A9472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8CE5A1B">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40．中标公告</w:t>
      </w:r>
    </w:p>
    <w:p w14:paraId="314BAD6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40.1</w:t>
      </w:r>
      <w:bookmarkStart w:id="55" w:name="_Hlk72438709"/>
      <w:r>
        <w:rPr>
          <w:rFonts w:hint="eastAsia" w:asciiTheme="majorEastAsia" w:hAnsiTheme="majorEastAsia" w:eastAsiaTheme="majorEastAsia"/>
          <w:szCs w:val="21"/>
        </w:rPr>
        <w:t>为体现“公开、公平、公正”的原则，评审结束后经采购人确认（确定）评审结果，采购代理机构将在“深圳政府采购智慧平台（http://zfcg.szggzy.com/）”上发布中标结果公告。</w:t>
      </w:r>
      <w:bookmarkEnd w:id="55"/>
      <w:bookmarkStart w:id="56" w:name="_Hlk72438751"/>
      <w:r>
        <w:rPr>
          <w:rFonts w:hint="eastAsia" w:asciiTheme="majorEastAsia" w:hAnsiTheme="majorEastAsia" w:eastAsiaTheme="majorEastAsia"/>
          <w:szCs w:val="21"/>
        </w:rPr>
        <w:t>供应商如对评审结果有异议，</w:t>
      </w:r>
      <w:r>
        <w:rPr>
          <w:rFonts w:asciiTheme="majorEastAsia" w:hAnsiTheme="majorEastAsia" w:eastAsiaTheme="majorEastAsia"/>
          <w:szCs w:val="21"/>
        </w:rPr>
        <w:t>可在发布公示日期起</w:t>
      </w:r>
      <w:r>
        <w:rPr>
          <w:rFonts w:hint="eastAsia" w:asciiTheme="majorEastAsia" w:hAnsiTheme="majorEastAsia" w:eastAsiaTheme="majorEastAsia"/>
          <w:szCs w:val="21"/>
        </w:rPr>
        <w:t>七</w:t>
      </w:r>
      <w:r>
        <w:rPr>
          <w:rFonts w:asciiTheme="majorEastAsia" w:hAnsiTheme="majorEastAsia" w:eastAsiaTheme="majorEastAsia"/>
          <w:szCs w:val="21"/>
        </w:rPr>
        <w:t>个工作日内向</w:t>
      </w:r>
      <w:r>
        <w:rPr>
          <w:rFonts w:hint="eastAsia" w:asciiTheme="majorEastAsia" w:hAnsiTheme="majorEastAsia" w:eastAsiaTheme="majorEastAsia"/>
          <w:szCs w:val="21"/>
        </w:rPr>
        <w:t>采购代理机构</w:t>
      </w:r>
      <w:r>
        <w:rPr>
          <w:rFonts w:asciiTheme="majorEastAsia" w:hAnsiTheme="majorEastAsia" w:eastAsiaTheme="majorEastAsia"/>
          <w:szCs w:val="21"/>
        </w:rPr>
        <w:t>提出。 监督电话：0755-83948143。</w:t>
      </w:r>
      <w:r>
        <w:rPr>
          <w:rFonts w:hint="eastAsia" w:asciiTheme="majorEastAsia" w:hAnsiTheme="majorEastAsia" w:eastAsiaTheme="majorEastAsia"/>
          <w:szCs w:val="21"/>
        </w:rPr>
        <w:t>若在公示期内未提出质疑，则视为认同该评审结果。</w:t>
      </w:r>
    </w:p>
    <w:bookmarkEnd w:id="56"/>
    <w:p w14:paraId="0D64F4A5">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40.2质疑、投诉供应商应保证质疑、投诉内容的真实性和可靠性，并承担相应的法律责任。</w:t>
      </w:r>
    </w:p>
    <w:p w14:paraId="2424A3BB">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41．中标通知书</w:t>
      </w:r>
    </w:p>
    <w:p w14:paraId="032DD497">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41</w:t>
      </w:r>
      <w:r>
        <w:rPr>
          <w:rFonts w:asciiTheme="majorEastAsia" w:hAnsiTheme="majorEastAsia" w:eastAsiaTheme="majorEastAsia"/>
          <w:szCs w:val="21"/>
        </w:rPr>
        <w:t>.</w:t>
      </w:r>
      <w:r>
        <w:rPr>
          <w:rFonts w:hint="eastAsia" w:asciiTheme="majorEastAsia" w:hAnsiTheme="majorEastAsia" w:eastAsiaTheme="majorEastAsia"/>
          <w:szCs w:val="21"/>
        </w:rPr>
        <w:t>1</w:t>
      </w:r>
      <w:bookmarkStart w:id="57" w:name="_Hlk72438863"/>
      <w:r>
        <w:rPr>
          <w:rFonts w:hint="eastAsia" w:asciiTheme="majorEastAsia" w:hAnsiTheme="majorEastAsia" w:eastAsiaTheme="majorEastAsia"/>
          <w:szCs w:val="21"/>
        </w:rPr>
        <w:t>中标公告公布以后无异常的情况下,采购代理机构将向中标供应商和采购人发出中标通知书。</w:t>
      </w:r>
      <w:bookmarkEnd w:id="57"/>
    </w:p>
    <w:p w14:paraId="76B459D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41</w:t>
      </w:r>
      <w:r>
        <w:rPr>
          <w:rFonts w:asciiTheme="majorEastAsia" w:hAnsiTheme="majorEastAsia" w:eastAsiaTheme="majorEastAsia"/>
          <w:szCs w:val="21"/>
        </w:rPr>
        <w:t>.2</w:t>
      </w:r>
      <w:r>
        <w:rPr>
          <w:rFonts w:hint="eastAsia" w:asciiTheme="majorEastAsia" w:hAnsiTheme="majorEastAsia" w:eastAsiaTheme="majorEastAsia"/>
          <w:szCs w:val="21"/>
        </w:rPr>
        <w:t>中标通知书是合同的重要组成部分。</w:t>
      </w:r>
    </w:p>
    <w:p w14:paraId="267F8F01">
      <w:pPr>
        <w:spacing w:line="360" w:lineRule="auto"/>
        <w:ind w:firstLine="411" w:firstLineChars="196"/>
        <w:rPr>
          <w:rFonts w:asciiTheme="majorEastAsia" w:hAnsiTheme="majorEastAsia" w:eastAsiaTheme="majorEastAsia"/>
          <w:szCs w:val="21"/>
        </w:rPr>
      </w:pPr>
      <w:bookmarkStart w:id="58" w:name="_Hlk71407340"/>
      <w:r>
        <w:rPr>
          <w:rFonts w:hint="eastAsia" w:asciiTheme="majorEastAsia" w:hAnsiTheme="majorEastAsia" w:eastAsiaTheme="majorEastAsia"/>
          <w:szCs w:val="21"/>
        </w:rPr>
        <w:t>41.3因质疑投诉或其它原因导致项目结果变更或采购终止的，采购代理机构有权吊销中标通知书。</w:t>
      </w:r>
    </w:p>
    <w:p w14:paraId="76D4CDCC">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41.4中标服务费</w:t>
      </w:r>
    </w:p>
    <w:p w14:paraId="48D79F9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中标人须在中标公告公示期结束后，向采购代理机构缴纳中标服务费。中标服务费收费标准根据《深圳市财政委员会关于规范深圳市社会采购代理机构的管理有关事项的补充通知（深财购[2018]27号）》文件相关规定，按照差额定率累进法计算。具体收费标准详见下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2027"/>
        <w:gridCol w:w="2158"/>
        <w:gridCol w:w="2158"/>
      </w:tblGrid>
      <w:tr w14:paraId="5DCD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802" w:type="dxa"/>
          </w:tcPr>
          <w:p w14:paraId="31C0EAE1">
            <w:pPr>
              <w:spacing w:line="360" w:lineRule="auto"/>
              <w:ind w:firstLine="1629" w:firstLineChars="776"/>
              <w:rPr>
                <w:rFonts w:asciiTheme="majorEastAsia" w:hAnsiTheme="majorEastAsia" w:eastAsiaTheme="majorEastAsia"/>
                <w:b/>
                <w:szCs w:val="21"/>
              </w:rPr>
            </w:pPr>
            <w:r>
              <w:rPr>
                <w:rFonts w:asciiTheme="majorEastAsia" w:hAnsiTheme="majorEastAsia" w:eastAsiaTheme="majorEastAsia"/>
                <w:szCs w:val="21"/>
              </w:rPr>
              <mc:AlternateContent>
                <mc:Choice Requires="wps">
                  <w:drawing>
                    <wp:anchor distT="0" distB="0" distL="114300" distR="114300" simplePos="0" relativeHeight="251661312" behindDoc="0" locked="0" layoutInCell="0" allowOverlap="1">
                      <wp:simplePos x="0" y="0"/>
                      <wp:positionH relativeFrom="column">
                        <wp:posOffset>-19050</wp:posOffset>
                      </wp:positionH>
                      <wp:positionV relativeFrom="paragraph">
                        <wp:posOffset>436245</wp:posOffset>
                      </wp:positionV>
                      <wp:extent cx="1733550" cy="394335"/>
                      <wp:effectExtent l="1270" t="4445" r="17780" b="20320"/>
                      <wp:wrapNone/>
                      <wp:docPr id="7" name="直接连接符 7"/>
                      <wp:cNvGraphicFramePr/>
                      <a:graphic xmlns:a="http://schemas.openxmlformats.org/drawingml/2006/main">
                        <a:graphicData uri="http://schemas.microsoft.com/office/word/2010/wordprocessingShape">
                          <wps:wsp>
                            <wps:cNvCnPr/>
                            <wps:spPr>
                              <a:xfrm flipH="1" flipV="1">
                                <a:off x="0" y="0"/>
                                <a:ext cx="1771650" cy="5410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1.5pt;margin-top:34.35pt;height:31.05pt;width:136.5pt;z-index:251661312;mso-width-relative:page;mso-height-relative:page;" filled="f" stroked="t" coordsize="21600,21600" o:allowincell="f" o:gfxdata="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lQLG1AAAAAkBAAAPAAAAAAAAAAEAIAAAACIAAABkcnMvZG93&#10;bnJldi54bWxQSwECFAAUAAAACACHTuJA5DiR7gQCAAD/AwAADgAAAAAAAAABACAAAAAjAQAAZHJz&#10;L2Uyb0RvYy54bWxQSwUGAAAAAAYABgBZAQAAmQUAAAAA&#10;">
                      <v:fill on="f" focussize="0,0"/>
                      <v:stroke color="#000000" joinstyle="round"/>
                      <v:imagedata o:title=""/>
                      <o:lock v:ext="edit" aspectratio="f"/>
                    </v:line>
                  </w:pict>
                </mc:Fallback>
              </mc:AlternateContent>
            </w:r>
            <w:r>
              <w:rPr>
                <w:rFonts w:asciiTheme="majorEastAsia" w:hAnsiTheme="majorEastAsia" w:eastAsiaTheme="majorEastAsia"/>
                <w:szCs w:val="21"/>
              </w:rPr>
              <mc:AlternateContent>
                <mc:Choice Requires="wps">
                  <w:drawing>
                    <wp:anchor distT="0" distB="0" distL="114300" distR="114300" simplePos="0" relativeHeight="251660288" behindDoc="0" locked="0" layoutInCell="0" allowOverlap="1">
                      <wp:simplePos x="0" y="0"/>
                      <wp:positionH relativeFrom="column">
                        <wp:posOffset>392430</wp:posOffset>
                      </wp:positionH>
                      <wp:positionV relativeFrom="paragraph">
                        <wp:posOffset>31750</wp:posOffset>
                      </wp:positionV>
                      <wp:extent cx="1322070" cy="798830"/>
                      <wp:effectExtent l="2540" t="3810" r="8890" b="16510"/>
                      <wp:wrapNone/>
                      <wp:docPr id="6" name="直接连接符 6"/>
                      <wp:cNvGraphicFramePr/>
                      <a:graphic xmlns:a="http://schemas.openxmlformats.org/drawingml/2006/main">
                        <a:graphicData uri="http://schemas.microsoft.com/office/word/2010/wordprocessingShape">
                          <wps:wsp>
                            <wps:cNvCnPr/>
                            <wps:spPr>
                              <a:xfrm flipH="1" flipV="1">
                                <a:off x="0" y="0"/>
                                <a:ext cx="1215390" cy="8515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30.9pt;margin-top:2.5pt;height:62.9pt;width:104.1pt;z-index:251660288;mso-width-relative:page;mso-height-relative:page;" filled="f" stroked="t" coordsize="21600,21600" o:allowincell="f" o:gfxdata="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tdP1dMAAAAIAQAADwAAAAAAAAABACAAAAAiAAAAZHJzL2Rvd25yZXYu&#10;eG1sUEsBAhQAFAAAAAgAh07iQPjl/UYAAgAA/wMAAA4AAAAAAAAAAQAgAAAAIgEAAGRycy9lMm9E&#10;b2MueG1sUEsFBgAAAAAGAAYAWQEAAJQFAAAAAA==&#10;">
                      <v:fill on="f" focussize="0,0"/>
                      <v:stroke color="#000000" joinstyle="round"/>
                      <v:imagedata o:title=""/>
                      <o:lock v:ext="edit" aspectratio="f"/>
                    </v:line>
                  </w:pict>
                </mc:Fallback>
              </mc:AlternateContent>
            </w:r>
            <w:r>
              <w:rPr>
                <w:rFonts w:asciiTheme="majorEastAsia" w:hAnsiTheme="majorEastAsia" w:eastAsiaTheme="majorEastAsia"/>
                <w:szCs w:val="21"/>
              </w:rPr>
              <mc:AlternateContent>
                <mc:Choice Requires="wps">
                  <w:drawing>
                    <wp:anchor distT="0" distB="0" distL="114300" distR="114300" simplePos="0" relativeHeight="251662336" behindDoc="0" locked="0" layoutInCell="0" allowOverlap="1">
                      <wp:simplePos x="0" y="0"/>
                      <wp:positionH relativeFrom="column">
                        <wp:posOffset>-114300</wp:posOffset>
                      </wp:positionH>
                      <wp:positionV relativeFrom="paragraph">
                        <wp:posOffset>-6350</wp:posOffset>
                      </wp:positionV>
                      <wp:extent cx="635"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62336;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uR037V&#10;AAAACQEAAA8AAAAAAAAAAQAgAAAAIgAAAGRycy9kb3ducmV2LnhtbFBLAQIUABQAAAAIAIdO4kCU&#10;Y33D6gEAAOADAAAOAAAAAAAAAAEAIAAAACQBAABkcnMvZTJvRG9jLnhtbFBLBQYAAAAABgAGAFkB&#10;AACABQAAAAA=&#10;">
                      <v:fill on="f" focussize="0,0"/>
                      <v:stroke color="#000000" joinstyle="round"/>
                      <v:imagedata o:title=""/>
                      <o:lock v:ext="edit" aspectratio="f"/>
                    </v:line>
                  </w:pict>
                </mc:Fallback>
              </mc:AlternateContent>
            </w:r>
            <w:r>
              <w:rPr>
                <w:rFonts w:hint="eastAsia" w:asciiTheme="majorEastAsia" w:hAnsiTheme="majorEastAsia" w:eastAsiaTheme="majorEastAsia"/>
                <w:b/>
                <w:szCs w:val="21"/>
              </w:rPr>
              <w:t>服务类型</w:t>
            </w:r>
          </w:p>
          <w:p w14:paraId="24AEE27C">
            <w:pPr>
              <w:spacing w:line="360" w:lineRule="auto"/>
              <w:ind w:firstLine="637" w:firstLineChars="302"/>
              <w:rPr>
                <w:rFonts w:asciiTheme="majorEastAsia" w:hAnsiTheme="majorEastAsia" w:eastAsiaTheme="majorEastAsia"/>
                <w:b/>
                <w:szCs w:val="21"/>
              </w:rPr>
            </w:pPr>
            <w:r>
              <w:rPr>
                <w:rFonts w:hint="eastAsia" w:asciiTheme="majorEastAsia" w:hAnsiTheme="majorEastAsia" w:eastAsiaTheme="majorEastAsia"/>
                <w:b/>
                <w:szCs w:val="21"/>
              </w:rPr>
              <w:t>费率　　　　　</w:t>
            </w:r>
          </w:p>
          <w:p w14:paraId="2EDCE798">
            <w:pPr>
              <w:spacing w:line="360" w:lineRule="auto"/>
              <w:rPr>
                <w:rFonts w:asciiTheme="majorEastAsia" w:hAnsiTheme="majorEastAsia" w:eastAsiaTheme="majorEastAsia"/>
                <w:b/>
                <w:szCs w:val="21"/>
              </w:rPr>
            </w:pPr>
            <w:r>
              <w:rPr>
                <w:rFonts w:hint="eastAsia" w:asciiTheme="majorEastAsia" w:hAnsiTheme="majorEastAsia" w:eastAsiaTheme="majorEastAsia"/>
                <w:b/>
                <w:szCs w:val="21"/>
              </w:rPr>
              <w:t>中标金额（万元）</w:t>
            </w:r>
          </w:p>
        </w:tc>
        <w:tc>
          <w:tcPr>
            <w:tcW w:w="2027" w:type="dxa"/>
            <w:vAlign w:val="center"/>
          </w:tcPr>
          <w:p w14:paraId="5AA8606F">
            <w:pPr>
              <w:spacing w:line="360" w:lineRule="auto"/>
              <w:jc w:val="center"/>
              <w:rPr>
                <w:rFonts w:asciiTheme="majorEastAsia" w:hAnsiTheme="majorEastAsia" w:eastAsiaTheme="majorEastAsia"/>
                <w:b/>
                <w:szCs w:val="21"/>
              </w:rPr>
            </w:pPr>
            <w:r>
              <w:rPr>
                <w:rFonts w:hint="eastAsia" w:asciiTheme="majorEastAsia" w:hAnsiTheme="majorEastAsia" w:eastAsiaTheme="majorEastAsia"/>
                <w:b/>
                <w:szCs w:val="21"/>
              </w:rPr>
              <w:t>货物招标</w:t>
            </w:r>
          </w:p>
        </w:tc>
        <w:tc>
          <w:tcPr>
            <w:tcW w:w="2158" w:type="dxa"/>
            <w:vAlign w:val="center"/>
          </w:tcPr>
          <w:p w14:paraId="200CBF56">
            <w:pPr>
              <w:spacing w:line="360" w:lineRule="auto"/>
              <w:jc w:val="center"/>
              <w:rPr>
                <w:rFonts w:asciiTheme="majorEastAsia" w:hAnsiTheme="majorEastAsia" w:eastAsiaTheme="majorEastAsia"/>
                <w:b/>
                <w:szCs w:val="21"/>
              </w:rPr>
            </w:pPr>
            <w:r>
              <w:rPr>
                <w:rFonts w:hint="eastAsia" w:asciiTheme="majorEastAsia" w:hAnsiTheme="majorEastAsia" w:eastAsiaTheme="majorEastAsia"/>
                <w:b/>
                <w:szCs w:val="21"/>
              </w:rPr>
              <w:t>服务招标</w:t>
            </w:r>
          </w:p>
        </w:tc>
        <w:tc>
          <w:tcPr>
            <w:tcW w:w="2158" w:type="dxa"/>
            <w:vAlign w:val="center"/>
          </w:tcPr>
          <w:p w14:paraId="64EC5A10">
            <w:pPr>
              <w:spacing w:line="360" w:lineRule="auto"/>
              <w:jc w:val="center"/>
              <w:rPr>
                <w:rFonts w:asciiTheme="majorEastAsia" w:hAnsiTheme="majorEastAsia" w:eastAsiaTheme="majorEastAsia"/>
                <w:b/>
                <w:szCs w:val="21"/>
              </w:rPr>
            </w:pPr>
            <w:r>
              <w:rPr>
                <w:rFonts w:hint="eastAsia" w:asciiTheme="majorEastAsia" w:hAnsiTheme="majorEastAsia" w:eastAsiaTheme="majorEastAsia"/>
                <w:b/>
                <w:szCs w:val="21"/>
              </w:rPr>
              <w:t>工程招标</w:t>
            </w:r>
          </w:p>
        </w:tc>
      </w:tr>
      <w:tr w14:paraId="1726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02" w:type="dxa"/>
            <w:vAlign w:val="center"/>
          </w:tcPr>
          <w:p w14:paraId="175EB147">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100</w:t>
            </w:r>
            <w:r>
              <w:rPr>
                <w:rFonts w:hint="eastAsia" w:asciiTheme="majorEastAsia" w:hAnsiTheme="majorEastAsia" w:eastAsiaTheme="majorEastAsia"/>
                <w:szCs w:val="21"/>
              </w:rPr>
              <w:t>以下</w:t>
            </w:r>
          </w:p>
        </w:tc>
        <w:tc>
          <w:tcPr>
            <w:tcW w:w="2027" w:type="dxa"/>
            <w:vAlign w:val="center"/>
          </w:tcPr>
          <w:p w14:paraId="0403A70F">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1.500%</w:t>
            </w:r>
          </w:p>
        </w:tc>
        <w:tc>
          <w:tcPr>
            <w:tcW w:w="2158" w:type="dxa"/>
            <w:vAlign w:val="center"/>
          </w:tcPr>
          <w:p w14:paraId="404F1CC6">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1.500%</w:t>
            </w:r>
          </w:p>
        </w:tc>
        <w:tc>
          <w:tcPr>
            <w:tcW w:w="2158" w:type="dxa"/>
            <w:vAlign w:val="center"/>
          </w:tcPr>
          <w:p w14:paraId="104D4586">
            <w:pPr>
              <w:snapToGrid w:val="0"/>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1.000%</w:t>
            </w:r>
          </w:p>
        </w:tc>
      </w:tr>
      <w:tr w14:paraId="6757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02" w:type="dxa"/>
            <w:vAlign w:val="center"/>
          </w:tcPr>
          <w:p w14:paraId="1BF188A4">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100</w:t>
            </w:r>
            <w:r>
              <w:rPr>
                <w:rFonts w:hint="eastAsia" w:asciiTheme="majorEastAsia" w:hAnsiTheme="majorEastAsia" w:eastAsiaTheme="majorEastAsia"/>
                <w:szCs w:val="21"/>
              </w:rPr>
              <w:t>～</w:t>
            </w:r>
            <w:r>
              <w:rPr>
                <w:rFonts w:asciiTheme="majorEastAsia" w:hAnsiTheme="majorEastAsia" w:eastAsiaTheme="majorEastAsia"/>
                <w:szCs w:val="21"/>
              </w:rPr>
              <w:t>500</w:t>
            </w:r>
          </w:p>
        </w:tc>
        <w:tc>
          <w:tcPr>
            <w:tcW w:w="2027" w:type="dxa"/>
            <w:vAlign w:val="center"/>
          </w:tcPr>
          <w:p w14:paraId="106F4FCA">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1.100%</w:t>
            </w:r>
          </w:p>
        </w:tc>
        <w:tc>
          <w:tcPr>
            <w:tcW w:w="2158" w:type="dxa"/>
            <w:vAlign w:val="center"/>
          </w:tcPr>
          <w:p w14:paraId="0EC00EEC">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0.800%</w:t>
            </w:r>
          </w:p>
        </w:tc>
        <w:tc>
          <w:tcPr>
            <w:tcW w:w="2158" w:type="dxa"/>
            <w:vAlign w:val="center"/>
          </w:tcPr>
          <w:p w14:paraId="4B020A83">
            <w:pPr>
              <w:snapToGrid w:val="0"/>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0.700%</w:t>
            </w:r>
          </w:p>
        </w:tc>
      </w:tr>
      <w:tr w14:paraId="7766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02" w:type="dxa"/>
            <w:vAlign w:val="center"/>
          </w:tcPr>
          <w:p w14:paraId="3B7EF808">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500</w:t>
            </w:r>
            <w:r>
              <w:rPr>
                <w:rFonts w:hint="eastAsia" w:asciiTheme="majorEastAsia" w:hAnsiTheme="majorEastAsia" w:eastAsiaTheme="majorEastAsia"/>
                <w:szCs w:val="21"/>
              </w:rPr>
              <w:t>～</w:t>
            </w:r>
            <w:r>
              <w:rPr>
                <w:rFonts w:asciiTheme="majorEastAsia" w:hAnsiTheme="majorEastAsia" w:eastAsiaTheme="majorEastAsia"/>
                <w:szCs w:val="21"/>
              </w:rPr>
              <w:t>1</w:t>
            </w:r>
            <w:r>
              <w:rPr>
                <w:rFonts w:hint="eastAsia" w:asciiTheme="majorEastAsia" w:hAnsiTheme="majorEastAsia" w:eastAsiaTheme="majorEastAsia"/>
                <w:szCs w:val="21"/>
              </w:rPr>
              <w:t>000</w:t>
            </w:r>
          </w:p>
        </w:tc>
        <w:tc>
          <w:tcPr>
            <w:tcW w:w="2027" w:type="dxa"/>
            <w:vAlign w:val="center"/>
          </w:tcPr>
          <w:p w14:paraId="128D28DA">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0.800%</w:t>
            </w:r>
          </w:p>
        </w:tc>
        <w:tc>
          <w:tcPr>
            <w:tcW w:w="2158" w:type="dxa"/>
            <w:vAlign w:val="center"/>
          </w:tcPr>
          <w:p w14:paraId="3D13CDC2">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0.450%</w:t>
            </w:r>
          </w:p>
        </w:tc>
        <w:tc>
          <w:tcPr>
            <w:tcW w:w="2158" w:type="dxa"/>
            <w:vAlign w:val="center"/>
          </w:tcPr>
          <w:p w14:paraId="540E774D">
            <w:pPr>
              <w:snapToGrid w:val="0"/>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0.550%</w:t>
            </w:r>
          </w:p>
        </w:tc>
      </w:tr>
      <w:tr w14:paraId="6166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02" w:type="dxa"/>
            <w:vAlign w:val="center"/>
          </w:tcPr>
          <w:p w14:paraId="46F11F32">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1</w:t>
            </w:r>
            <w:r>
              <w:rPr>
                <w:rFonts w:hint="eastAsia" w:asciiTheme="majorEastAsia" w:hAnsiTheme="majorEastAsia" w:eastAsiaTheme="majorEastAsia"/>
                <w:szCs w:val="21"/>
              </w:rPr>
              <w:t>000～</w:t>
            </w:r>
            <w:r>
              <w:rPr>
                <w:rFonts w:asciiTheme="majorEastAsia" w:hAnsiTheme="majorEastAsia" w:eastAsiaTheme="majorEastAsia"/>
                <w:szCs w:val="21"/>
              </w:rPr>
              <w:t>5</w:t>
            </w:r>
            <w:r>
              <w:rPr>
                <w:rFonts w:hint="eastAsia" w:asciiTheme="majorEastAsia" w:hAnsiTheme="majorEastAsia" w:eastAsiaTheme="majorEastAsia"/>
                <w:szCs w:val="21"/>
              </w:rPr>
              <w:t>000</w:t>
            </w:r>
          </w:p>
        </w:tc>
        <w:tc>
          <w:tcPr>
            <w:tcW w:w="2027" w:type="dxa"/>
            <w:vAlign w:val="center"/>
          </w:tcPr>
          <w:p w14:paraId="5C3C5F92">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0.500%</w:t>
            </w:r>
          </w:p>
        </w:tc>
        <w:tc>
          <w:tcPr>
            <w:tcW w:w="2158" w:type="dxa"/>
            <w:vAlign w:val="center"/>
          </w:tcPr>
          <w:p w14:paraId="469E06E2">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0.250%</w:t>
            </w:r>
          </w:p>
        </w:tc>
        <w:tc>
          <w:tcPr>
            <w:tcW w:w="2158" w:type="dxa"/>
            <w:vAlign w:val="center"/>
          </w:tcPr>
          <w:p w14:paraId="393E8422">
            <w:pPr>
              <w:snapToGrid w:val="0"/>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0.350%</w:t>
            </w:r>
          </w:p>
        </w:tc>
      </w:tr>
      <w:tr w14:paraId="6398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02" w:type="dxa"/>
            <w:vAlign w:val="center"/>
          </w:tcPr>
          <w:p w14:paraId="4F273F00">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5</w:t>
            </w:r>
            <w:r>
              <w:rPr>
                <w:rFonts w:hint="eastAsia" w:asciiTheme="majorEastAsia" w:hAnsiTheme="majorEastAsia" w:eastAsiaTheme="majorEastAsia"/>
                <w:szCs w:val="21"/>
              </w:rPr>
              <w:t>000～</w:t>
            </w:r>
            <w:r>
              <w:rPr>
                <w:rFonts w:asciiTheme="majorEastAsia" w:hAnsiTheme="majorEastAsia" w:eastAsiaTheme="majorEastAsia"/>
                <w:szCs w:val="21"/>
              </w:rPr>
              <w:t>1</w:t>
            </w:r>
            <w:r>
              <w:rPr>
                <w:rFonts w:hint="eastAsia" w:asciiTheme="majorEastAsia" w:hAnsiTheme="majorEastAsia" w:eastAsiaTheme="majorEastAsia"/>
                <w:szCs w:val="21"/>
              </w:rPr>
              <w:t>0000</w:t>
            </w:r>
          </w:p>
        </w:tc>
        <w:tc>
          <w:tcPr>
            <w:tcW w:w="2027" w:type="dxa"/>
            <w:vAlign w:val="center"/>
          </w:tcPr>
          <w:p w14:paraId="71CAEF9B">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0.250%</w:t>
            </w:r>
          </w:p>
        </w:tc>
        <w:tc>
          <w:tcPr>
            <w:tcW w:w="2158" w:type="dxa"/>
            <w:vAlign w:val="center"/>
          </w:tcPr>
          <w:p w14:paraId="7D523A92">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0.100%</w:t>
            </w:r>
          </w:p>
        </w:tc>
        <w:tc>
          <w:tcPr>
            <w:tcW w:w="2158" w:type="dxa"/>
            <w:vAlign w:val="center"/>
          </w:tcPr>
          <w:p w14:paraId="5EB01735">
            <w:pPr>
              <w:snapToGrid w:val="0"/>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0.200%</w:t>
            </w:r>
          </w:p>
        </w:tc>
      </w:tr>
      <w:tr w14:paraId="03AA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02" w:type="dxa"/>
            <w:vAlign w:val="center"/>
          </w:tcPr>
          <w:p w14:paraId="701C5139">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1</w:t>
            </w:r>
            <w:r>
              <w:rPr>
                <w:rFonts w:hint="eastAsia" w:asciiTheme="majorEastAsia" w:hAnsiTheme="majorEastAsia" w:eastAsiaTheme="majorEastAsia"/>
                <w:szCs w:val="21"/>
              </w:rPr>
              <w:t>0000～</w:t>
            </w:r>
            <w:r>
              <w:rPr>
                <w:rFonts w:asciiTheme="majorEastAsia" w:hAnsiTheme="majorEastAsia" w:eastAsiaTheme="majorEastAsia"/>
                <w:szCs w:val="21"/>
              </w:rPr>
              <w:t>5</w:t>
            </w:r>
            <w:r>
              <w:rPr>
                <w:rFonts w:hint="eastAsia" w:asciiTheme="majorEastAsia" w:hAnsiTheme="majorEastAsia" w:eastAsiaTheme="majorEastAsia"/>
                <w:szCs w:val="21"/>
              </w:rPr>
              <w:t>0000</w:t>
            </w:r>
          </w:p>
        </w:tc>
        <w:tc>
          <w:tcPr>
            <w:tcW w:w="2027" w:type="dxa"/>
            <w:vAlign w:val="center"/>
          </w:tcPr>
          <w:p w14:paraId="278C0FE2">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0.050%</w:t>
            </w:r>
          </w:p>
        </w:tc>
        <w:tc>
          <w:tcPr>
            <w:tcW w:w="2158" w:type="dxa"/>
            <w:vAlign w:val="center"/>
          </w:tcPr>
          <w:p w14:paraId="092D6F14">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0.050%</w:t>
            </w:r>
          </w:p>
        </w:tc>
        <w:tc>
          <w:tcPr>
            <w:tcW w:w="2158" w:type="dxa"/>
            <w:vAlign w:val="center"/>
          </w:tcPr>
          <w:p w14:paraId="323DED9D">
            <w:pPr>
              <w:snapToGrid w:val="0"/>
              <w:spacing w:line="360" w:lineRule="auto"/>
              <w:jc w:val="center"/>
              <w:rPr>
                <w:rFonts w:asciiTheme="majorEastAsia" w:hAnsiTheme="majorEastAsia" w:eastAsiaTheme="majorEastAsia"/>
                <w:szCs w:val="21"/>
              </w:rPr>
            </w:pPr>
            <w:r>
              <w:rPr>
                <w:rFonts w:hint="eastAsia" w:asciiTheme="majorEastAsia" w:hAnsiTheme="majorEastAsia" w:eastAsiaTheme="majorEastAsia"/>
                <w:szCs w:val="21"/>
              </w:rPr>
              <w:t>0.050%</w:t>
            </w:r>
          </w:p>
        </w:tc>
      </w:tr>
      <w:tr w14:paraId="3FB4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02" w:type="dxa"/>
            <w:vAlign w:val="center"/>
          </w:tcPr>
          <w:p w14:paraId="462BB504">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5</w:t>
            </w:r>
            <w:r>
              <w:rPr>
                <w:rFonts w:hint="eastAsia" w:asciiTheme="majorEastAsia" w:hAnsiTheme="majorEastAsia" w:eastAsiaTheme="majorEastAsia"/>
                <w:szCs w:val="21"/>
              </w:rPr>
              <w:t>0000～</w:t>
            </w:r>
            <w:r>
              <w:rPr>
                <w:rFonts w:asciiTheme="majorEastAsia" w:hAnsiTheme="majorEastAsia" w:eastAsiaTheme="majorEastAsia"/>
                <w:szCs w:val="21"/>
              </w:rPr>
              <w:t>10</w:t>
            </w:r>
            <w:r>
              <w:rPr>
                <w:rFonts w:hint="eastAsia" w:asciiTheme="majorEastAsia" w:hAnsiTheme="majorEastAsia" w:eastAsiaTheme="majorEastAsia"/>
                <w:szCs w:val="21"/>
              </w:rPr>
              <w:t>0000</w:t>
            </w:r>
          </w:p>
        </w:tc>
        <w:tc>
          <w:tcPr>
            <w:tcW w:w="2027" w:type="dxa"/>
            <w:vAlign w:val="center"/>
          </w:tcPr>
          <w:p w14:paraId="5F2C7AA1">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0.035%</w:t>
            </w:r>
          </w:p>
        </w:tc>
        <w:tc>
          <w:tcPr>
            <w:tcW w:w="2158" w:type="dxa"/>
            <w:vAlign w:val="center"/>
          </w:tcPr>
          <w:p w14:paraId="5ADD299C">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0.035%</w:t>
            </w:r>
          </w:p>
        </w:tc>
        <w:tc>
          <w:tcPr>
            <w:tcW w:w="2158" w:type="dxa"/>
            <w:vAlign w:val="center"/>
          </w:tcPr>
          <w:p w14:paraId="561071FA">
            <w:pPr>
              <w:snapToGrid w:val="0"/>
              <w:spacing w:line="360" w:lineRule="auto"/>
              <w:jc w:val="center"/>
              <w:rPr>
                <w:rFonts w:asciiTheme="majorEastAsia" w:hAnsiTheme="majorEastAsia" w:eastAsiaTheme="majorEastAsia"/>
                <w:bCs/>
                <w:szCs w:val="21"/>
              </w:rPr>
            </w:pPr>
            <w:r>
              <w:rPr>
                <w:rFonts w:hint="eastAsia" w:asciiTheme="majorEastAsia" w:hAnsiTheme="majorEastAsia" w:eastAsiaTheme="majorEastAsia"/>
                <w:bCs/>
                <w:szCs w:val="21"/>
              </w:rPr>
              <w:t>0.035%</w:t>
            </w:r>
          </w:p>
        </w:tc>
      </w:tr>
      <w:tr w14:paraId="2C43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02" w:type="dxa"/>
            <w:vAlign w:val="center"/>
          </w:tcPr>
          <w:p w14:paraId="0EED5D0D">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10</w:t>
            </w:r>
            <w:r>
              <w:rPr>
                <w:rFonts w:hint="eastAsia" w:asciiTheme="majorEastAsia" w:hAnsiTheme="majorEastAsia" w:eastAsiaTheme="majorEastAsia"/>
                <w:szCs w:val="21"/>
              </w:rPr>
              <w:t>0000～</w:t>
            </w:r>
            <w:r>
              <w:rPr>
                <w:rFonts w:asciiTheme="majorEastAsia" w:hAnsiTheme="majorEastAsia" w:eastAsiaTheme="majorEastAsia"/>
                <w:szCs w:val="21"/>
              </w:rPr>
              <w:t>50</w:t>
            </w:r>
            <w:r>
              <w:rPr>
                <w:rFonts w:hint="eastAsia" w:asciiTheme="majorEastAsia" w:hAnsiTheme="majorEastAsia" w:eastAsiaTheme="majorEastAsia"/>
                <w:szCs w:val="21"/>
              </w:rPr>
              <w:t>0000</w:t>
            </w:r>
          </w:p>
        </w:tc>
        <w:tc>
          <w:tcPr>
            <w:tcW w:w="2027" w:type="dxa"/>
            <w:vAlign w:val="center"/>
          </w:tcPr>
          <w:p w14:paraId="49AD1A58">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0.008%</w:t>
            </w:r>
          </w:p>
        </w:tc>
        <w:tc>
          <w:tcPr>
            <w:tcW w:w="2158" w:type="dxa"/>
            <w:vAlign w:val="center"/>
          </w:tcPr>
          <w:p w14:paraId="6F90C6AB">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0.008%</w:t>
            </w:r>
          </w:p>
        </w:tc>
        <w:tc>
          <w:tcPr>
            <w:tcW w:w="2158" w:type="dxa"/>
            <w:vAlign w:val="center"/>
          </w:tcPr>
          <w:p w14:paraId="022BF27E">
            <w:pPr>
              <w:snapToGrid w:val="0"/>
              <w:spacing w:line="360" w:lineRule="auto"/>
              <w:jc w:val="center"/>
              <w:rPr>
                <w:rFonts w:asciiTheme="majorEastAsia" w:hAnsiTheme="majorEastAsia" w:eastAsiaTheme="majorEastAsia"/>
                <w:bCs/>
                <w:szCs w:val="21"/>
              </w:rPr>
            </w:pPr>
            <w:r>
              <w:rPr>
                <w:rFonts w:hint="eastAsia" w:asciiTheme="majorEastAsia" w:hAnsiTheme="majorEastAsia" w:eastAsiaTheme="majorEastAsia"/>
                <w:bCs/>
                <w:szCs w:val="21"/>
              </w:rPr>
              <w:t>0.008%</w:t>
            </w:r>
          </w:p>
        </w:tc>
      </w:tr>
      <w:tr w14:paraId="3A49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802" w:type="dxa"/>
            <w:vAlign w:val="center"/>
          </w:tcPr>
          <w:p w14:paraId="3C0351FD">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50</w:t>
            </w:r>
            <w:r>
              <w:rPr>
                <w:rFonts w:hint="eastAsia" w:asciiTheme="majorEastAsia" w:hAnsiTheme="majorEastAsia" w:eastAsiaTheme="majorEastAsia"/>
                <w:szCs w:val="21"/>
              </w:rPr>
              <w:t>0000～</w:t>
            </w:r>
            <w:r>
              <w:rPr>
                <w:rFonts w:asciiTheme="majorEastAsia" w:hAnsiTheme="majorEastAsia" w:eastAsiaTheme="majorEastAsia"/>
                <w:szCs w:val="21"/>
              </w:rPr>
              <w:t>100</w:t>
            </w:r>
            <w:r>
              <w:rPr>
                <w:rFonts w:hint="eastAsia" w:asciiTheme="majorEastAsia" w:hAnsiTheme="majorEastAsia" w:eastAsiaTheme="majorEastAsia"/>
                <w:szCs w:val="21"/>
              </w:rPr>
              <w:t>0000</w:t>
            </w:r>
          </w:p>
        </w:tc>
        <w:tc>
          <w:tcPr>
            <w:tcW w:w="2027" w:type="dxa"/>
            <w:vAlign w:val="center"/>
          </w:tcPr>
          <w:p w14:paraId="4FA9D84B">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0.006%</w:t>
            </w:r>
          </w:p>
        </w:tc>
        <w:tc>
          <w:tcPr>
            <w:tcW w:w="2158" w:type="dxa"/>
            <w:vAlign w:val="center"/>
          </w:tcPr>
          <w:p w14:paraId="1BC9E6B8">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0.006%</w:t>
            </w:r>
          </w:p>
        </w:tc>
        <w:tc>
          <w:tcPr>
            <w:tcW w:w="2158" w:type="dxa"/>
            <w:vAlign w:val="center"/>
          </w:tcPr>
          <w:p w14:paraId="27032CEF">
            <w:pPr>
              <w:snapToGrid w:val="0"/>
              <w:spacing w:line="360" w:lineRule="auto"/>
              <w:jc w:val="center"/>
              <w:rPr>
                <w:rFonts w:asciiTheme="majorEastAsia" w:hAnsiTheme="majorEastAsia" w:eastAsiaTheme="majorEastAsia"/>
                <w:bCs/>
                <w:szCs w:val="21"/>
              </w:rPr>
            </w:pPr>
            <w:r>
              <w:rPr>
                <w:rFonts w:hint="eastAsia" w:asciiTheme="majorEastAsia" w:hAnsiTheme="majorEastAsia" w:eastAsiaTheme="majorEastAsia"/>
                <w:bCs/>
                <w:szCs w:val="21"/>
              </w:rPr>
              <w:t>0.006%</w:t>
            </w:r>
          </w:p>
        </w:tc>
      </w:tr>
      <w:tr w14:paraId="3EF7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802" w:type="dxa"/>
            <w:vAlign w:val="center"/>
          </w:tcPr>
          <w:p w14:paraId="453396DB">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100</w:t>
            </w:r>
            <w:r>
              <w:rPr>
                <w:rFonts w:hint="eastAsia" w:asciiTheme="majorEastAsia" w:hAnsiTheme="majorEastAsia" w:eastAsiaTheme="majorEastAsia"/>
                <w:szCs w:val="21"/>
              </w:rPr>
              <w:t>0000以上</w:t>
            </w:r>
          </w:p>
        </w:tc>
        <w:tc>
          <w:tcPr>
            <w:tcW w:w="2027" w:type="dxa"/>
            <w:vAlign w:val="center"/>
          </w:tcPr>
          <w:p w14:paraId="6CD6BC9A">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0.004%</w:t>
            </w:r>
          </w:p>
        </w:tc>
        <w:tc>
          <w:tcPr>
            <w:tcW w:w="2158" w:type="dxa"/>
            <w:vAlign w:val="center"/>
          </w:tcPr>
          <w:p w14:paraId="73A111E9">
            <w:pPr>
              <w:spacing w:line="360" w:lineRule="auto"/>
              <w:jc w:val="center"/>
              <w:rPr>
                <w:rFonts w:asciiTheme="majorEastAsia" w:hAnsiTheme="majorEastAsia" w:eastAsiaTheme="majorEastAsia"/>
                <w:szCs w:val="21"/>
              </w:rPr>
            </w:pPr>
            <w:r>
              <w:rPr>
                <w:rFonts w:asciiTheme="majorEastAsia" w:hAnsiTheme="majorEastAsia" w:eastAsiaTheme="majorEastAsia"/>
                <w:szCs w:val="21"/>
              </w:rPr>
              <w:t>0.004%</w:t>
            </w:r>
          </w:p>
        </w:tc>
        <w:tc>
          <w:tcPr>
            <w:tcW w:w="2158" w:type="dxa"/>
            <w:vAlign w:val="center"/>
          </w:tcPr>
          <w:p w14:paraId="7EA87F53">
            <w:pPr>
              <w:snapToGrid w:val="0"/>
              <w:spacing w:line="360" w:lineRule="auto"/>
              <w:jc w:val="center"/>
              <w:rPr>
                <w:rFonts w:asciiTheme="majorEastAsia" w:hAnsiTheme="majorEastAsia" w:eastAsiaTheme="majorEastAsia"/>
                <w:bCs/>
                <w:szCs w:val="21"/>
              </w:rPr>
            </w:pPr>
            <w:r>
              <w:rPr>
                <w:rFonts w:hint="eastAsia" w:asciiTheme="majorEastAsia" w:hAnsiTheme="majorEastAsia" w:eastAsiaTheme="majorEastAsia"/>
                <w:bCs/>
                <w:szCs w:val="21"/>
              </w:rPr>
              <w:t>0.004%</w:t>
            </w:r>
          </w:p>
        </w:tc>
      </w:tr>
    </w:tbl>
    <w:p w14:paraId="1F6070BF">
      <w:pPr>
        <w:spacing w:line="360" w:lineRule="auto"/>
        <w:ind w:firstLine="411" w:firstLineChars="196"/>
        <w:rPr>
          <w:rFonts w:asciiTheme="majorEastAsia" w:hAnsiTheme="majorEastAsia" w:eastAsiaTheme="majorEastAsia"/>
          <w:szCs w:val="21"/>
        </w:rPr>
      </w:pPr>
    </w:p>
    <w:bookmarkEnd w:id="58"/>
    <w:p w14:paraId="721C1517">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r>
        <w:rPr>
          <w:rFonts w:hint="eastAsia" w:asciiTheme="majorEastAsia" w:hAnsiTheme="majorEastAsia" w:eastAsiaTheme="majorEastAsia"/>
          <w:b/>
          <w:bCs/>
          <w:kern w:val="0"/>
          <w:sz w:val="28"/>
          <w:szCs w:val="28"/>
        </w:rPr>
        <w:t>公开招标失败的后续处理</w:t>
      </w:r>
    </w:p>
    <w:p w14:paraId="2C219433">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42．公开招标失败的处理</w:t>
      </w:r>
    </w:p>
    <w:p w14:paraId="7E66874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42.1本项目公开招标过程中若由于投标截止后实际递交</w:t>
      </w:r>
      <w:r>
        <w:rPr>
          <w:rFonts w:asciiTheme="majorEastAsia" w:hAnsiTheme="majorEastAsia" w:eastAsiaTheme="majorEastAsia"/>
          <w:szCs w:val="21"/>
        </w:rPr>
        <w:t>投标</w:t>
      </w:r>
      <w:r>
        <w:rPr>
          <w:rFonts w:hint="eastAsia" w:asciiTheme="majorEastAsia" w:hAnsiTheme="majorEastAsia" w:eastAsiaTheme="majorEastAsia"/>
          <w:szCs w:val="21"/>
        </w:rPr>
        <w:t>文件的供应商数量不足、经评审委员会评审对招标文件作实质响应的供应商不足等原因造成公开招标失败，可由</w:t>
      </w:r>
      <w:r>
        <w:rPr>
          <w:rFonts w:hint="eastAsia" w:cs="宋体" w:asciiTheme="majorEastAsia" w:hAnsiTheme="majorEastAsia" w:eastAsiaTheme="majorEastAsia"/>
          <w:szCs w:val="21"/>
        </w:rPr>
        <w:t>采购代理机构</w:t>
      </w:r>
      <w:r>
        <w:rPr>
          <w:rFonts w:hint="eastAsia" w:asciiTheme="majorEastAsia" w:hAnsiTheme="majorEastAsia" w:eastAsiaTheme="majorEastAsia"/>
          <w:szCs w:val="21"/>
        </w:rPr>
        <w:t>重新组织采购。</w:t>
      </w:r>
    </w:p>
    <w:p w14:paraId="38ECEE17">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42.2对公开招标失败的项目，评审委员会在出具该项目招标失败结论的同时，可以提出重新采购组织形式的建议，以及进一步完善招标文件的资格、技术、商务要求的修改建议。</w:t>
      </w:r>
    </w:p>
    <w:p w14:paraId="494FCB1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42.3重新组织采购有以下两种组织形式：</w:t>
      </w:r>
    </w:p>
    <w:p w14:paraId="7294F138">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（1）由采购代理机构重新组织公开招标；</w:t>
      </w:r>
    </w:p>
    <w:p w14:paraId="479F6720">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（2）根据实际情况需要向同级财政部门提出非公开招标方式申请的，经同级财政部门批准，公开招标失败采购项目可转为竞争性谈判或单一来源谈判方式采购。</w:t>
      </w:r>
    </w:p>
    <w:p w14:paraId="6189CDFF">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42.4公开招标失败的采购项目重新组织公开招标，由采购代理机构重新按公开招标流程组织采购活动。</w:t>
      </w:r>
    </w:p>
    <w:p w14:paraId="466D6E97">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42.5公开招标失败的采购项目经同级财政部门批准转为竞争性谈判或单一来源谈判方式采购的，按规定要求组织政府采购工作。</w:t>
      </w:r>
    </w:p>
    <w:p w14:paraId="255E35DA">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bookmarkStart w:id="59" w:name="_Hlk72439043"/>
      <w:r>
        <w:rPr>
          <w:rFonts w:hint="eastAsia" w:asciiTheme="majorEastAsia" w:hAnsiTheme="majorEastAsia" w:eastAsiaTheme="majorEastAsia"/>
          <w:b/>
          <w:bCs/>
          <w:kern w:val="0"/>
          <w:sz w:val="28"/>
          <w:szCs w:val="28"/>
        </w:rPr>
        <w:t>合同的授予与备案</w:t>
      </w:r>
      <w:bookmarkEnd w:id="59"/>
    </w:p>
    <w:p w14:paraId="0907538C">
      <w:pPr>
        <w:spacing w:line="360" w:lineRule="auto"/>
        <w:rPr>
          <w:rFonts w:asciiTheme="majorEastAsia" w:hAnsiTheme="majorEastAsia" w:eastAsiaTheme="majorEastAsia"/>
          <w:b/>
          <w:bCs/>
          <w:szCs w:val="21"/>
        </w:rPr>
      </w:pPr>
      <w:bookmarkStart w:id="60" w:name="_Toc73517679"/>
      <w:bookmarkStart w:id="61" w:name="_Toc73518157"/>
      <w:bookmarkStart w:id="62" w:name="_Toc73521586"/>
      <w:bookmarkStart w:id="63" w:name="_Toc100052408"/>
      <w:bookmarkStart w:id="64" w:name="_Toc73521674"/>
      <w:bookmarkStart w:id="65" w:name="_Hlk72439088"/>
      <w:r>
        <w:rPr>
          <w:rFonts w:hint="eastAsia" w:asciiTheme="majorEastAsia" w:hAnsiTheme="majorEastAsia" w:eastAsiaTheme="majorEastAsia"/>
          <w:b/>
          <w:bCs/>
          <w:szCs w:val="21"/>
        </w:rPr>
        <w:t>43．合同授予标准</w:t>
      </w:r>
      <w:bookmarkEnd w:id="60"/>
      <w:bookmarkEnd w:id="61"/>
      <w:bookmarkEnd w:id="62"/>
      <w:bookmarkEnd w:id="63"/>
      <w:bookmarkEnd w:id="64"/>
    </w:p>
    <w:p w14:paraId="1DCC4456">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本项目的合同将授予经本招标文件规定评审确定的中标供应商。</w:t>
      </w:r>
    </w:p>
    <w:p w14:paraId="733C7AB6">
      <w:pPr>
        <w:spacing w:line="360" w:lineRule="auto"/>
        <w:rPr>
          <w:rFonts w:asciiTheme="majorEastAsia" w:hAnsiTheme="majorEastAsia" w:eastAsiaTheme="majorEastAsia"/>
          <w:b/>
          <w:bCs/>
          <w:szCs w:val="21"/>
        </w:rPr>
      </w:pPr>
      <w:bookmarkStart w:id="66" w:name="_Toc73521675"/>
      <w:bookmarkStart w:id="67" w:name="_Toc73521587"/>
      <w:bookmarkStart w:id="68" w:name="_Toc73518158"/>
      <w:bookmarkStart w:id="69" w:name="_Toc73517680"/>
      <w:bookmarkStart w:id="70" w:name="_Toc100052409"/>
      <w:r>
        <w:rPr>
          <w:rFonts w:hint="eastAsia" w:asciiTheme="majorEastAsia" w:hAnsiTheme="majorEastAsia" w:eastAsiaTheme="majorEastAsia"/>
          <w:b/>
          <w:bCs/>
          <w:szCs w:val="21"/>
        </w:rPr>
        <w:t>44．</w:t>
      </w:r>
      <w:bookmarkEnd w:id="66"/>
      <w:bookmarkEnd w:id="67"/>
      <w:bookmarkEnd w:id="68"/>
      <w:bookmarkEnd w:id="69"/>
      <w:bookmarkEnd w:id="70"/>
      <w:r>
        <w:rPr>
          <w:rFonts w:hint="eastAsia" w:asciiTheme="majorEastAsia" w:hAnsiTheme="majorEastAsia" w:eastAsiaTheme="majorEastAsia"/>
          <w:b/>
          <w:bCs/>
          <w:szCs w:val="21"/>
        </w:rPr>
        <w:t>接受和拒绝任何或所有投标的权力</w:t>
      </w:r>
    </w:p>
    <w:p w14:paraId="3B36011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采购代理机构和采购人保留在投标之前任何时候接受或拒绝任何投标或所有投标，以及宣布招标无效的权力，对受影响的投标人不承担任何责任，也无义务向受影响的投标人解释采取这一行动的理由。</w:t>
      </w:r>
    </w:p>
    <w:p w14:paraId="18A8120F">
      <w:pPr>
        <w:spacing w:line="360" w:lineRule="auto"/>
        <w:rPr>
          <w:rFonts w:asciiTheme="majorEastAsia" w:hAnsiTheme="majorEastAsia" w:eastAsiaTheme="majorEastAsia"/>
          <w:b/>
          <w:bCs/>
          <w:szCs w:val="21"/>
        </w:rPr>
      </w:pPr>
      <w:bookmarkStart w:id="71" w:name="_Toc73518160"/>
      <w:bookmarkStart w:id="72" w:name="_Toc100052410"/>
      <w:bookmarkStart w:id="73" w:name="_Toc73521589"/>
      <w:bookmarkStart w:id="74" w:name="_Toc73517682"/>
      <w:bookmarkStart w:id="75" w:name="_Toc73521677"/>
      <w:r>
        <w:rPr>
          <w:rFonts w:hint="eastAsia" w:asciiTheme="majorEastAsia" w:hAnsiTheme="majorEastAsia" w:eastAsiaTheme="majorEastAsia"/>
          <w:b/>
          <w:bCs/>
          <w:szCs w:val="21"/>
        </w:rPr>
        <w:t>45．合同的签订</w:t>
      </w:r>
      <w:bookmarkEnd w:id="71"/>
      <w:bookmarkEnd w:id="72"/>
      <w:bookmarkEnd w:id="73"/>
      <w:bookmarkEnd w:id="74"/>
      <w:bookmarkEnd w:id="75"/>
    </w:p>
    <w:p w14:paraId="036E1CDF">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45.1中标人将于中标通知书发出之日起十个工作日内，按照采购文件（招标文件和投标文件等）内容与采购人签订政府采购合同；合同的实质性内容应当符合招标文件的规定；</w:t>
      </w:r>
    </w:p>
    <w:p w14:paraId="3CA8842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45.2中标人如不按本通用条款第45</w:t>
      </w:r>
      <w:r>
        <w:rPr>
          <w:rFonts w:asciiTheme="majorEastAsia" w:hAnsiTheme="majorEastAsia" w:eastAsiaTheme="majorEastAsia"/>
          <w:szCs w:val="21"/>
        </w:rPr>
        <w:t>.1</w:t>
      </w:r>
      <w:r>
        <w:rPr>
          <w:rFonts w:hint="eastAsia" w:asciiTheme="majorEastAsia" w:hAnsiTheme="majorEastAsia" w:eastAsiaTheme="majorEastAsia"/>
          <w:szCs w:val="21"/>
        </w:rPr>
        <w:t>款的规定与采购人签订合同，</w:t>
      </w:r>
      <w:r>
        <w:rPr>
          <w:rFonts w:cs="宋体" w:asciiTheme="majorEastAsia" w:hAnsiTheme="majorEastAsia" w:eastAsiaTheme="majorEastAsia"/>
          <w:szCs w:val="21"/>
        </w:rPr>
        <w:t>情节严重的，由</w:t>
      </w:r>
      <w:r>
        <w:rPr>
          <w:rFonts w:hint="eastAsia" w:cs="宋体" w:asciiTheme="majorEastAsia" w:hAnsiTheme="majorEastAsia" w:eastAsiaTheme="majorEastAsia"/>
          <w:szCs w:val="21"/>
        </w:rPr>
        <w:t>同级财政</w:t>
      </w:r>
      <w:r>
        <w:rPr>
          <w:rFonts w:cs="宋体" w:asciiTheme="majorEastAsia" w:hAnsiTheme="majorEastAsia" w:eastAsiaTheme="majorEastAsia"/>
          <w:szCs w:val="21"/>
        </w:rPr>
        <w:t>部门记入供应商诚信档案，予以通报</w:t>
      </w:r>
      <w:r>
        <w:rPr>
          <w:rFonts w:hint="eastAsia" w:asciiTheme="majorEastAsia" w:hAnsiTheme="majorEastAsia" w:eastAsiaTheme="majorEastAsia"/>
          <w:szCs w:val="21"/>
        </w:rPr>
        <w:t>；</w:t>
      </w:r>
    </w:p>
    <w:p w14:paraId="052A141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45.3中标人应当按照合同约定履行义务，完成中标项目，不得将中标项目转让（转包）给他人。</w:t>
      </w:r>
    </w:p>
    <w:p w14:paraId="352D8B84">
      <w:pPr>
        <w:spacing w:line="360" w:lineRule="auto"/>
        <w:rPr>
          <w:rFonts w:asciiTheme="majorEastAsia" w:hAnsiTheme="majorEastAsia" w:eastAsiaTheme="majorEastAsia"/>
          <w:b/>
          <w:bCs/>
          <w:szCs w:val="21"/>
        </w:rPr>
      </w:pPr>
      <w:bookmarkStart w:id="76" w:name="_Toc73521590"/>
      <w:bookmarkStart w:id="77" w:name="_Toc73521678"/>
      <w:bookmarkStart w:id="78" w:name="_Toc100052411"/>
      <w:bookmarkStart w:id="79" w:name="_Toc73517683"/>
      <w:bookmarkStart w:id="80" w:name="_Toc73518161"/>
      <w:r>
        <w:rPr>
          <w:rFonts w:hint="eastAsia" w:asciiTheme="majorEastAsia" w:hAnsiTheme="majorEastAsia" w:eastAsiaTheme="majorEastAsia"/>
          <w:b/>
          <w:bCs/>
          <w:szCs w:val="21"/>
        </w:rPr>
        <w:t>46．履约担保</w:t>
      </w:r>
      <w:bookmarkEnd w:id="76"/>
      <w:bookmarkEnd w:id="77"/>
      <w:bookmarkEnd w:id="78"/>
      <w:bookmarkEnd w:id="79"/>
      <w:bookmarkEnd w:id="80"/>
    </w:p>
    <w:p w14:paraId="1ED32F9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46.1在签订项目合同的同时，中标人应按“对通用条款的补充内容”中规定的金额向采购人提交履约担保；</w:t>
      </w:r>
    </w:p>
    <w:p w14:paraId="50C0306A">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46.2，允许供应商自主选择以支票、汇票、本票、保函等非现金方式提交履约担保；</w:t>
      </w:r>
      <w:r>
        <w:rPr>
          <w:rFonts w:asciiTheme="majorEastAsia" w:hAnsiTheme="majorEastAsia" w:eastAsiaTheme="majorEastAsia"/>
          <w:szCs w:val="21"/>
        </w:rPr>
        <w:t>中标</w:t>
      </w:r>
      <w:r>
        <w:rPr>
          <w:rFonts w:hint="eastAsia" w:asciiTheme="majorEastAsia" w:hAnsiTheme="majorEastAsia" w:eastAsiaTheme="majorEastAsia"/>
          <w:szCs w:val="21"/>
        </w:rPr>
        <w:t>人</w:t>
      </w:r>
      <w:r>
        <w:rPr>
          <w:rFonts w:asciiTheme="majorEastAsia" w:hAnsiTheme="majorEastAsia" w:eastAsiaTheme="majorEastAsia"/>
          <w:szCs w:val="21"/>
        </w:rPr>
        <w:t>提交履约</w:t>
      </w:r>
      <w:r>
        <w:rPr>
          <w:rFonts w:hint="eastAsia" w:asciiTheme="majorEastAsia" w:hAnsiTheme="majorEastAsia" w:eastAsiaTheme="majorEastAsia"/>
          <w:szCs w:val="21"/>
        </w:rPr>
        <w:t>担保不是</w:t>
      </w:r>
      <w:r>
        <w:rPr>
          <w:rFonts w:asciiTheme="majorEastAsia" w:hAnsiTheme="majorEastAsia" w:eastAsiaTheme="majorEastAsia"/>
          <w:szCs w:val="21"/>
        </w:rPr>
        <w:t>合同签订的</w:t>
      </w:r>
      <w:r>
        <w:rPr>
          <w:rFonts w:hint="eastAsia" w:asciiTheme="majorEastAsia" w:hAnsiTheme="majorEastAsia" w:eastAsiaTheme="majorEastAsia"/>
          <w:szCs w:val="21"/>
        </w:rPr>
        <w:t>前提</w:t>
      </w:r>
      <w:r>
        <w:rPr>
          <w:rFonts w:asciiTheme="majorEastAsia" w:hAnsiTheme="majorEastAsia" w:eastAsiaTheme="majorEastAsia"/>
          <w:szCs w:val="21"/>
        </w:rPr>
        <w:t>条件，不要求中标</w:t>
      </w:r>
      <w:r>
        <w:rPr>
          <w:rFonts w:hint="eastAsia" w:asciiTheme="majorEastAsia" w:hAnsiTheme="majorEastAsia" w:eastAsiaTheme="majorEastAsia"/>
          <w:szCs w:val="21"/>
        </w:rPr>
        <w:t>人</w:t>
      </w:r>
      <w:r>
        <w:rPr>
          <w:rFonts w:asciiTheme="majorEastAsia" w:hAnsiTheme="majorEastAsia" w:eastAsiaTheme="majorEastAsia"/>
          <w:szCs w:val="21"/>
        </w:rPr>
        <w:t>提供除法律、法规明确规定外的其他担保</w:t>
      </w:r>
      <w:r>
        <w:rPr>
          <w:rFonts w:hint="eastAsia" w:asciiTheme="majorEastAsia" w:hAnsiTheme="majorEastAsia" w:eastAsiaTheme="majorEastAsia"/>
          <w:szCs w:val="21"/>
        </w:rPr>
        <w:t>。</w:t>
      </w:r>
    </w:p>
    <w:p w14:paraId="016BDF5F">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47. 合同备案</w:t>
      </w:r>
    </w:p>
    <w:p w14:paraId="2604B156">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采购人与中标人应于合同签订之日起十日内，由采购人或委托中标人将采购合同副本抄送合同备案工作实施机构备案。</w:t>
      </w:r>
    </w:p>
    <w:p w14:paraId="3099F7DD">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48. 合同变更</w:t>
      </w:r>
    </w:p>
    <w:p w14:paraId="03905A1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合同变更事宜按《深圳市财政局 深圳市政府采购中心关于进一步加强市本级政府采购合同备案管理工作的通知》（深财购〔2019〕43号）相关规定执行。</w:t>
      </w:r>
    </w:p>
    <w:p w14:paraId="77D282BE">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49. 项目验收</w:t>
      </w:r>
    </w:p>
    <w:p w14:paraId="5FB6D6F4">
      <w:pPr>
        <w:spacing w:line="360" w:lineRule="auto"/>
        <w:ind w:right="176" w:firstLine="420"/>
        <w:rPr>
          <w:rFonts w:asciiTheme="majorEastAsia" w:hAnsiTheme="majorEastAsia" w:eastAsiaTheme="majorEastAsia"/>
          <w:szCs w:val="21"/>
        </w:rPr>
      </w:pPr>
      <w:r>
        <w:rPr>
          <w:rFonts w:hint="eastAsia" w:asciiTheme="majorEastAsia" w:hAnsiTheme="majorEastAsia" w:eastAsiaTheme="majorEastAsia"/>
          <w:szCs w:val="21"/>
        </w:rPr>
        <w:t>49.1采购人应当按照招标文件和合同规定的标准和方法，及时组织验收。</w:t>
      </w:r>
    </w:p>
    <w:p w14:paraId="1975A5CD">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50. 宣传</w:t>
      </w:r>
    </w:p>
    <w:p w14:paraId="5043AAF1">
      <w:pPr>
        <w:spacing w:line="360" w:lineRule="auto"/>
        <w:ind w:left="210" w:leftChars="100" w:firstLine="411" w:firstLineChars="196"/>
        <w:rPr>
          <w:rFonts w:asciiTheme="majorEastAsia" w:hAnsiTheme="majorEastAsia" w:eastAsiaTheme="majorEastAsia"/>
          <w:szCs w:val="21"/>
        </w:rPr>
      </w:pPr>
      <w:r>
        <w:rPr>
          <w:rFonts w:hint="eastAsia" w:asciiTheme="majorEastAsia" w:hAnsiTheme="majorEastAsia" w:eastAsiaTheme="majorEastAsia"/>
          <w:szCs w:val="21"/>
        </w:rPr>
        <w:t>凡与政府采购活动有关的宣传或广告，若当中提及政府采购，</w:t>
      </w:r>
      <w:r>
        <w:rPr>
          <w:rFonts w:asciiTheme="majorEastAsia" w:hAnsiTheme="majorEastAsia" w:eastAsiaTheme="majorEastAsia"/>
          <w:szCs w:val="21"/>
        </w:rPr>
        <w:t>必须事先将具体对外宣传方案报</w:t>
      </w:r>
      <w:r>
        <w:rPr>
          <w:rFonts w:hint="eastAsia" w:asciiTheme="majorEastAsia" w:hAnsiTheme="majorEastAsia" w:eastAsiaTheme="majorEastAsia"/>
          <w:szCs w:val="21"/>
        </w:rPr>
        <w:t>同级财政部门</w:t>
      </w:r>
      <w:r>
        <w:rPr>
          <w:rFonts w:asciiTheme="majorEastAsia" w:hAnsiTheme="majorEastAsia" w:eastAsiaTheme="majorEastAsia"/>
          <w:szCs w:val="21"/>
        </w:rPr>
        <w:t>和</w:t>
      </w:r>
      <w:r>
        <w:rPr>
          <w:rFonts w:hint="eastAsia" w:asciiTheme="majorEastAsia" w:hAnsiTheme="majorEastAsia" w:eastAsiaTheme="majorEastAsia"/>
          <w:szCs w:val="21"/>
        </w:rPr>
        <w:t>采购代理机构</w:t>
      </w:r>
      <w:r>
        <w:rPr>
          <w:rFonts w:asciiTheme="majorEastAsia" w:hAnsiTheme="majorEastAsia" w:eastAsiaTheme="majorEastAsia"/>
          <w:szCs w:val="21"/>
        </w:rPr>
        <w:t>，并征得其同意。对外市场宣传包括但不限于以下形式：</w:t>
      </w:r>
    </w:p>
    <w:p w14:paraId="25BAAAE5">
      <w:pPr>
        <w:spacing w:line="360" w:lineRule="auto"/>
        <w:ind w:left="210" w:leftChars="100" w:firstLine="411" w:firstLineChars="196"/>
        <w:rPr>
          <w:rFonts w:asciiTheme="majorEastAsia" w:hAnsiTheme="majorEastAsia" w:eastAsiaTheme="majorEastAsia"/>
          <w:szCs w:val="21"/>
        </w:rPr>
      </w:pPr>
      <w:r>
        <w:rPr>
          <w:rFonts w:asciiTheme="majorEastAsia" w:hAnsiTheme="majorEastAsia" w:eastAsiaTheme="majorEastAsia"/>
          <w:szCs w:val="21"/>
        </w:rPr>
        <w:t>a.名片、宣传册、广告标语等；</w:t>
      </w:r>
    </w:p>
    <w:p w14:paraId="2FBF67B0">
      <w:pPr>
        <w:spacing w:line="360" w:lineRule="auto"/>
        <w:ind w:left="210" w:leftChars="100" w:firstLine="411" w:firstLineChars="196"/>
        <w:rPr>
          <w:rFonts w:asciiTheme="majorEastAsia" w:hAnsiTheme="majorEastAsia" w:eastAsiaTheme="majorEastAsia"/>
          <w:szCs w:val="21"/>
        </w:rPr>
      </w:pPr>
      <w:r>
        <w:rPr>
          <w:rFonts w:asciiTheme="majorEastAsia" w:hAnsiTheme="majorEastAsia" w:eastAsiaTheme="majorEastAsia"/>
          <w:szCs w:val="21"/>
        </w:rPr>
        <w:t>b.案例介绍、推广等；</w:t>
      </w:r>
    </w:p>
    <w:p w14:paraId="46EDC396">
      <w:pPr>
        <w:spacing w:line="360" w:lineRule="auto"/>
        <w:ind w:left="210" w:leftChars="100" w:firstLine="411" w:firstLineChars="196"/>
        <w:rPr>
          <w:rFonts w:asciiTheme="majorEastAsia" w:hAnsiTheme="majorEastAsia" w:eastAsiaTheme="majorEastAsia"/>
          <w:szCs w:val="21"/>
        </w:rPr>
      </w:pPr>
      <w:r>
        <w:rPr>
          <w:rFonts w:hint="eastAsia" w:asciiTheme="majorEastAsia" w:hAnsiTheme="majorEastAsia" w:eastAsiaTheme="majorEastAsia"/>
          <w:szCs w:val="21"/>
        </w:rPr>
        <w:t>c.工作</w:t>
      </w:r>
      <w:r>
        <w:rPr>
          <w:rFonts w:asciiTheme="majorEastAsia" w:hAnsiTheme="majorEastAsia" w:eastAsiaTheme="majorEastAsia"/>
          <w:szCs w:val="21"/>
        </w:rPr>
        <w:t>人员向其他消费群体宣传。</w:t>
      </w:r>
    </w:p>
    <w:p w14:paraId="4D1D89B8">
      <w:pPr>
        <w:spacing w:line="360" w:lineRule="auto"/>
        <w:rPr>
          <w:rFonts w:asciiTheme="majorEastAsia" w:hAnsiTheme="majorEastAsia" w:eastAsiaTheme="majorEastAsia"/>
          <w:b/>
          <w:bCs/>
          <w:szCs w:val="21"/>
        </w:rPr>
      </w:pPr>
      <w:r>
        <w:rPr>
          <w:rFonts w:hint="eastAsia" w:asciiTheme="majorEastAsia" w:hAnsiTheme="majorEastAsia" w:eastAsiaTheme="majorEastAsia"/>
          <w:b/>
          <w:bCs/>
          <w:szCs w:val="21"/>
        </w:rPr>
        <w:t>51. 供应商违法责任</w:t>
      </w:r>
    </w:p>
    <w:p w14:paraId="28DFC4A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w:t>
      </w:r>
      <w:r>
        <w:rPr>
          <w:rFonts w:asciiTheme="majorEastAsia" w:hAnsiTheme="majorEastAsia" w:eastAsiaTheme="majorEastAsia"/>
          <w:szCs w:val="21"/>
        </w:rPr>
        <w:t>1.1</w:t>
      </w:r>
      <w:r>
        <w:rPr>
          <w:rFonts w:hint="eastAsia" w:asciiTheme="majorEastAsia" w:hAnsiTheme="majorEastAsia" w:eastAsiaTheme="majorEastAsia"/>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C3369A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（1）在采购活动中应当回避而未回避的；</w:t>
      </w:r>
    </w:p>
    <w:p w14:paraId="7739C729">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（2）未按本条例规定签订、履行采购合同，造成严重后果的；</w:t>
      </w:r>
    </w:p>
    <w:p w14:paraId="3AE4EE5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（3）隐瞒真实情况，提供虚假资料的；</w:t>
      </w:r>
    </w:p>
    <w:p w14:paraId="512A18E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（4）以非法手段排斥其他供应商参与竞争的；</w:t>
      </w:r>
    </w:p>
    <w:p w14:paraId="2F734CD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（5）与其他采购参加人串通投标的；</w:t>
      </w:r>
    </w:p>
    <w:p w14:paraId="0AE8FD0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（6）恶意投诉的；</w:t>
      </w:r>
    </w:p>
    <w:p w14:paraId="06FDD3ED">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（7）向采购项目相关人行贿或者提供其他不当利益的；</w:t>
      </w:r>
    </w:p>
    <w:p w14:paraId="22AE06F4">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（8）阻碍、抗拒主管部门监督检查的；</w:t>
      </w:r>
    </w:p>
    <w:p w14:paraId="2D013862">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（9）其他违反本条例规定的行为。</w:t>
      </w:r>
    </w:p>
    <w:p w14:paraId="631B3161">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5</w:t>
      </w:r>
      <w:r>
        <w:rPr>
          <w:rFonts w:asciiTheme="majorEastAsia" w:hAnsiTheme="majorEastAsia" w:eastAsiaTheme="majorEastAsia"/>
          <w:szCs w:val="21"/>
        </w:rPr>
        <w:t xml:space="preserve">1.2 </w:t>
      </w:r>
      <w:r>
        <w:rPr>
          <w:rFonts w:hint="eastAsia" w:asciiTheme="majorEastAsia" w:hAnsiTheme="majorEastAsia" w:eastAsiaTheme="majorEastAsia"/>
          <w:szCs w:val="21"/>
        </w:rPr>
        <w:t>根据《深圳市财政局关于明确政府采购保证金管理工作的通知》（深财购[2019]42号）的要求，供应商在政府采购活动中出现《深圳经济特区政府采购条例实施细则》第八十四条所列情形的，</w:t>
      </w:r>
      <w:bookmarkStart w:id="81" w:name="_Hlk72440769"/>
      <w:r>
        <w:rPr>
          <w:rFonts w:hint="eastAsia" w:asciiTheme="majorEastAsia" w:hAnsiTheme="majorEastAsia" w:eastAsiaTheme="majorEastAsia"/>
          <w:szCs w:val="21"/>
        </w:rPr>
        <w:t>采购人或采购代理机构</w:t>
      </w:r>
      <w:bookmarkEnd w:id="81"/>
      <w:r>
        <w:rPr>
          <w:rFonts w:hint="eastAsia" w:asciiTheme="majorEastAsia" w:hAnsiTheme="majorEastAsia" w:eastAsiaTheme="majorEastAsia"/>
          <w:szCs w:val="21"/>
        </w:rPr>
        <w:t>可将有关情况报同级财政部门，由财政部门根据实际情况记入供应商诚信档案，予以通报：</w:t>
      </w:r>
    </w:p>
    <w:p w14:paraId="1D81A893">
      <w:pPr>
        <w:spacing w:line="360" w:lineRule="auto"/>
        <w:ind w:firstLine="411" w:firstLineChars="196"/>
        <w:rPr>
          <w:rFonts w:asciiTheme="majorEastAsia" w:hAnsiTheme="majorEastAsia" w:eastAsiaTheme="majorEastAsia"/>
          <w:szCs w:val="21"/>
        </w:rPr>
      </w:pPr>
      <w:r>
        <w:rPr>
          <w:rFonts w:hint="eastAsia" w:asciiTheme="majorEastAsia" w:hAnsiTheme="majorEastAsia" w:eastAsiaTheme="majorEastAsia"/>
          <w:szCs w:val="21"/>
        </w:rPr>
        <w:t>（1</w:t>
      </w:r>
      <w:r>
        <w:rPr>
          <w:rFonts w:asciiTheme="majorEastAsia" w:hAnsiTheme="majorEastAsia" w:eastAsiaTheme="majorEastAsia"/>
          <w:szCs w:val="21"/>
        </w:rPr>
        <w:t>）投标截止后，撤销投标的；</w:t>
      </w:r>
    </w:p>
    <w:p w14:paraId="03111819">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w:t>
      </w:r>
      <w:r>
        <w:rPr>
          <w:rFonts w:hint="eastAsia" w:asciiTheme="majorEastAsia" w:hAnsiTheme="majorEastAsia" w:eastAsiaTheme="majorEastAsia"/>
          <w:szCs w:val="21"/>
        </w:rPr>
        <w:t>2</w:t>
      </w:r>
      <w:r>
        <w:rPr>
          <w:rFonts w:asciiTheme="majorEastAsia" w:hAnsiTheme="majorEastAsia" w:eastAsiaTheme="majorEastAsia"/>
          <w:szCs w:val="21"/>
        </w:rPr>
        <w:t>）中标后无正当理由未在规定期限内签订合同的；</w:t>
      </w:r>
    </w:p>
    <w:p w14:paraId="6DE06B01">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w:t>
      </w:r>
      <w:r>
        <w:rPr>
          <w:rFonts w:hint="eastAsia" w:asciiTheme="majorEastAsia" w:hAnsiTheme="majorEastAsia" w:eastAsiaTheme="majorEastAsia"/>
          <w:szCs w:val="21"/>
        </w:rPr>
        <w:t>3</w:t>
      </w:r>
      <w:r>
        <w:rPr>
          <w:rFonts w:asciiTheme="majorEastAsia" w:hAnsiTheme="majorEastAsia" w:eastAsiaTheme="majorEastAsia"/>
          <w:szCs w:val="21"/>
        </w:rPr>
        <w:t>）将中标项目转让给他人、或者在投标文件中未说明且未经采购人、采购招标机构同意，将中标项目分包给他人的；</w:t>
      </w:r>
    </w:p>
    <w:p w14:paraId="5BF950BA">
      <w:pPr>
        <w:spacing w:line="360" w:lineRule="auto"/>
        <w:ind w:firstLine="411" w:firstLineChars="196"/>
        <w:rPr>
          <w:rFonts w:asciiTheme="majorEastAsia" w:hAnsiTheme="majorEastAsia" w:eastAsiaTheme="majorEastAsia"/>
          <w:szCs w:val="21"/>
        </w:rPr>
      </w:pPr>
      <w:r>
        <w:rPr>
          <w:rFonts w:asciiTheme="majorEastAsia" w:hAnsiTheme="majorEastAsia" w:eastAsiaTheme="majorEastAsia"/>
          <w:szCs w:val="21"/>
        </w:rPr>
        <w:t>（</w:t>
      </w:r>
      <w:r>
        <w:rPr>
          <w:rFonts w:hint="eastAsia" w:asciiTheme="majorEastAsia" w:hAnsiTheme="majorEastAsia" w:eastAsiaTheme="majorEastAsia"/>
          <w:szCs w:val="21"/>
        </w:rPr>
        <w:t>4</w:t>
      </w:r>
      <w:r>
        <w:rPr>
          <w:rFonts w:asciiTheme="majorEastAsia" w:hAnsiTheme="majorEastAsia" w:eastAsiaTheme="majorEastAsia"/>
          <w:szCs w:val="21"/>
        </w:rPr>
        <w:t>）拒绝履行合同义务的</w:t>
      </w:r>
      <w:r>
        <w:rPr>
          <w:rFonts w:hint="eastAsia" w:asciiTheme="majorEastAsia" w:hAnsiTheme="majorEastAsia" w:eastAsiaTheme="majorEastAsia"/>
          <w:szCs w:val="21"/>
        </w:rPr>
        <w:t>。</w:t>
      </w:r>
    </w:p>
    <w:bookmarkEnd w:id="65"/>
    <w:p w14:paraId="0B5F0520">
      <w:pPr>
        <w:keepNext/>
        <w:keepLines/>
        <w:widowControl/>
        <w:numPr>
          <w:ilvl w:val="0"/>
          <w:numId w:val="1"/>
        </w:numPr>
        <w:adjustRightInd w:val="0"/>
        <w:spacing w:beforeLines="50" w:afterLines="50" w:line="360" w:lineRule="auto"/>
        <w:ind w:left="562" w:hanging="562"/>
        <w:jc w:val="center"/>
        <w:textAlignment w:val="baseline"/>
        <w:outlineLvl w:val="1"/>
        <w:rPr>
          <w:rFonts w:asciiTheme="majorEastAsia" w:hAnsiTheme="majorEastAsia" w:eastAsiaTheme="majorEastAsia"/>
          <w:b/>
          <w:bCs/>
          <w:kern w:val="0"/>
          <w:sz w:val="28"/>
          <w:szCs w:val="28"/>
        </w:rPr>
      </w:pPr>
      <w:r>
        <w:rPr>
          <w:rFonts w:hint="eastAsia" w:asciiTheme="majorEastAsia" w:hAnsiTheme="majorEastAsia" w:eastAsiaTheme="majorEastAsia"/>
          <w:b/>
          <w:bCs/>
          <w:kern w:val="0"/>
          <w:sz w:val="28"/>
          <w:szCs w:val="28"/>
        </w:rPr>
        <w:t>质疑处理</w:t>
      </w:r>
    </w:p>
    <w:p w14:paraId="069B4310">
      <w:pPr>
        <w:spacing w:line="360" w:lineRule="auto"/>
        <w:rPr>
          <w:rFonts w:asciiTheme="majorEastAsia" w:hAnsiTheme="majorEastAsia" w:eastAsiaTheme="majorEastAsia"/>
          <w:b/>
          <w:bCs/>
          <w:szCs w:val="21"/>
        </w:rPr>
      </w:pPr>
      <w:bookmarkStart w:id="82" w:name="_Hlk72439706"/>
      <w:r>
        <w:rPr>
          <w:rFonts w:hint="eastAsia" w:asciiTheme="majorEastAsia" w:hAnsiTheme="majorEastAsia" w:eastAsiaTheme="majorEastAsia"/>
          <w:b/>
          <w:bCs/>
          <w:szCs w:val="21"/>
        </w:rPr>
        <w:t>52.质疑提出与答复</w:t>
      </w:r>
    </w:p>
    <w:p w14:paraId="5F8A737E">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52.1提出质疑</w:t>
      </w:r>
    </w:p>
    <w:p w14:paraId="6593F9D3">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参与政府采购活动的供应商认为自己的权益在采购活动中受到损害的，应当自知道或者应当知道其权益受到损害之日起七个工作日内向采购人、采购代理机构以书面形式提出质疑。</w:t>
      </w:r>
    </w:p>
    <w:p w14:paraId="0B0DB4F5">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52.2</w:t>
      </w:r>
      <w:r>
        <w:rPr>
          <w:rFonts w:asciiTheme="majorEastAsia" w:hAnsiTheme="majorEastAsia" w:eastAsiaTheme="majorEastAsia"/>
          <w:szCs w:val="21"/>
        </w:rPr>
        <w:t>法律依据</w:t>
      </w:r>
    </w:p>
    <w:p w14:paraId="4C4D8EC4">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《中华人民共和国政府采购法》、《中华人民共和国政府采购法实施条例》、</w:t>
      </w:r>
      <w:r>
        <w:rPr>
          <w:rFonts w:asciiTheme="majorEastAsia" w:hAnsiTheme="majorEastAsia" w:eastAsiaTheme="majorEastAsia"/>
          <w:szCs w:val="21"/>
        </w:rPr>
        <w:t>《</w:t>
      </w:r>
      <w:r>
        <w:rPr>
          <w:rFonts w:hint="eastAsia" w:asciiTheme="majorEastAsia" w:hAnsiTheme="majorEastAsia" w:eastAsiaTheme="majorEastAsia"/>
          <w:szCs w:val="21"/>
        </w:rPr>
        <w:t>深圳经济特区政府采购</w:t>
      </w:r>
      <w:r>
        <w:rPr>
          <w:rFonts w:asciiTheme="majorEastAsia" w:hAnsiTheme="majorEastAsia" w:eastAsiaTheme="majorEastAsia"/>
          <w:szCs w:val="21"/>
        </w:rPr>
        <w:t>条例</w:t>
      </w:r>
      <w:r>
        <w:rPr>
          <w:rFonts w:hint="eastAsia" w:asciiTheme="majorEastAsia" w:hAnsiTheme="majorEastAsia" w:eastAsiaTheme="majorEastAsia"/>
          <w:szCs w:val="21"/>
        </w:rPr>
        <w:t>》、《深圳经济特区政府采购条例实施细则》、《政府采购质疑和投诉办法》（财政部令第94号）和其他有关法律法规规定。</w:t>
      </w:r>
    </w:p>
    <w:p w14:paraId="47C28635">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52.3质疑条件</w:t>
      </w:r>
    </w:p>
    <w:p w14:paraId="5034875B">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52.3.1提出质疑的供应商应当是参与所质疑项目采购活动的供应商；</w:t>
      </w:r>
      <w:bookmarkStart w:id="83" w:name="_Hlk75374941"/>
      <w:r>
        <w:rPr>
          <w:rFonts w:hint="eastAsia" w:asciiTheme="majorEastAsia" w:hAnsiTheme="majorEastAsia" w:eastAsiaTheme="majorEastAsia"/>
          <w:szCs w:val="21"/>
        </w:rPr>
        <w:t>以联合体形式参与的，质疑应当由组成联合体的所有成员共同提出</w:t>
      </w:r>
      <w:bookmarkEnd w:id="83"/>
      <w:r>
        <w:rPr>
          <w:rFonts w:hint="eastAsia" w:asciiTheme="majorEastAsia" w:hAnsiTheme="majorEastAsia" w:eastAsiaTheme="majorEastAsia"/>
          <w:szCs w:val="21"/>
        </w:rPr>
        <w:t>；</w:t>
      </w:r>
    </w:p>
    <w:p w14:paraId="084CC26F">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14C454A7">
      <w:pPr>
        <w:spacing w:line="360" w:lineRule="auto"/>
        <w:ind w:firstLine="420"/>
        <w:rPr>
          <w:rFonts w:asciiTheme="majorEastAsia" w:hAnsiTheme="majorEastAsia" w:eastAsiaTheme="majorEastAsia"/>
          <w:szCs w:val="21"/>
        </w:rPr>
      </w:pPr>
      <w:r>
        <w:rPr>
          <w:rFonts w:hint="eastAsia" w:asciiTheme="majorEastAsia" w:hAnsiTheme="majorEastAsia" w:eastAsiaTheme="majorEastAsia"/>
          <w:szCs w:val="21"/>
        </w:rPr>
        <w:t>52.3.3应提交书面质疑函，质疑函应当包括以下内容：</w:t>
      </w:r>
    </w:p>
    <w:p w14:paraId="4BC9EDD3">
      <w:pPr>
        <w:spacing w:line="360" w:lineRule="auto"/>
        <w:ind w:firstLine="420"/>
        <w:rPr>
          <w:rFonts w:asciiTheme="majorEastAsia" w:hAnsiTheme="majorEastAsia" w:eastAsiaTheme="majorEastAsia"/>
          <w:szCs w:val="21"/>
        </w:rPr>
      </w:pPr>
      <w:r>
        <w:rPr>
          <w:rFonts w:hint="eastAsia" w:asciiTheme="majorEastAsia" w:hAnsiTheme="majorEastAsia" w:eastAsiaTheme="majorEastAsia"/>
          <w:szCs w:val="21"/>
        </w:rPr>
        <w:t>（1）供应商的名称（或者姓名）、地址、邮编、邮箱、联系人及联系电话；</w:t>
      </w:r>
    </w:p>
    <w:p w14:paraId="467DA797">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（2）质疑项目的名称、编号；</w:t>
      </w:r>
    </w:p>
    <w:p w14:paraId="2A5B326D">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（3）具体、明确的质疑对象、质疑事项和质疑请求；</w:t>
      </w:r>
    </w:p>
    <w:p w14:paraId="6F7828B8">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（4）因质疑事项而受损害的权益；</w:t>
      </w:r>
    </w:p>
    <w:p w14:paraId="5951E957">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（5）事实依据；</w:t>
      </w:r>
    </w:p>
    <w:p w14:paraId="10EDB7B3">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（6）必要的法律依据；</w:t>
      </w:r>
    </w:p>
    <w:p w14:paraId="6B1C885B">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（7）提出质疑的日期。</w:t>
      </w:r>
    </w:p>
    <w:p w14:paraId="1A306CA6">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供应商为自然人的，应当由本人签字；供应商为法人或者其他组织的，应当由法定代表人（负责人），或者其授权代理人签字或者盖章，并加盖公章。</w:t>
      </w:r>
    </w:p>
    <w:p w14:paraId="3542024E">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52.4提交</w:t>
      </w:r>
      <w:r>
        <w:rPr>
          <w:rFonts w:asciiTheme="majorEastAsia" w:hAnsiTheme="majorEastAsia" w:eastAsiaTheme="majorEastAsia"/>
          <w:szCs w:val="21"/>
        </w:rPr>
        <w:t>材料</w:t>
      </w:r>
    </w:p>
    <w:p w14:paraId="59320A8C">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0470E30F">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供应商可以委托代理人进行质疑。</w:t>
      </w:r>
      <w:r>
        <w:rPr>
          <w:rFonts w:asciiTheme="majorEastAsia" w:hAnsiTheme="majorEastAsia" w:eastAsiaTheme="majorEastAsia"/>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A0088AD">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52.5提交方式</w:t>
      </w:r>
    </w:p>
    <w:p w14:paraId="76448B74">
      <w:pPr>
        <w:spacing w:line="360" w:lineRule="auto"/>
        <w:ind w:firstLine="420"/>
        <w:rPr>
          <w:rFonts w:asciiTheme="majorEastAsia" w:hAnsiTheme="majorEastAsia" w:eastAsiaTheme="majorEastAsia"/>
          <w:szCs w:val="21"/>
        </w:rPr>
      </w:pPr>
      <w:r>
        <w:rPr>
          <w:rFonts w:hint="eastAsia" w:asciiTheme="majorEastAsia" w:hAnsiTheme="majorEastAsia" w:eastAsiaTheme="majorEastAsia"/>
          <w:szCs w:val="21"/>
        </w:rPr>
        <w:t>5</w:t>
      </w:r>
      <w:r>
        <w:rPr>
          <w:rFonts w:asciiTheme="majorEastAsia" w:hAnsiTheme="majorEastAsia" w:eastAsiaTheme="majorEastAsia"/>
          <w:szCs w:val="21"/>
        </w:rPr>
        <w:t>2.5.1</w:t>
      </w:r>
      <w:r>
        <w:rPr>
          <w:rFonts w:hint="eastAsia" w:asciiTheme="majorEastAsia" w:hAnsiTheme="majorEastAsia" w:eastAsiaTheme="majorEastAsia"/>
          <w:szCs w:val="21"/>
        </w:rPr>
        <w:t>供应商登录“深圳政府采购智慧平台用户网上办事子系统（http://zfcg.szggzy.com/TPBidder/memberLogin）”，在“【我的项目】→【项目流程】→【质疑】”中提出质疑。</w:t>
      </w:r>
    </w:p>
    <w:p w14:paraId="31050D70">
      <w:pPr>
        <w:spacing w:line="360" w:lineRule="auto"/>
        <w:ind w:firstLine="420" w:firstLineChars="200"/>
        <w:rPr>
          <w:rFonts w:asciiTheme="majorEastAsia" w:hAnsiTheme="majorEastAsia" w:eastAsiaTheme="majorEastAsia"/>
          <w:b/>
          <w:bCs/>
          <w:szCs w:val="21"/>
        </w:rPr>
      </w:pPr>
      <w:r>
        <w:rPr>
          <w:rFonts w:hint="eastAsia" w:asciiTheme="majorEastAsia" w:hAnsiTheme="majorEastAsia" w:eastAsiaTheme="majorEastAsia"/>
          <w:szCs w:val="21"/>
        </w:rPr>
        <w:t>5</w:t>
      </w:r>
      <w:r>
        <w:rPr>
          <w:rFonts w:asciiTheme="majorEastAsia" w:hAnsiTheme="majorEastAsia" w:eastAsiaTheme="majorEastAsia"/>
          <w:szCs w:val="21"/>
        </w:rPr>
        <w:t>2.5.2</w:t>
      </w:r>
      <w:r>
        <w:rPr>
          <w:rFonts w:hint="eastAsia" w:asciiTheme="majorEastAsia" w:hAnsiTheme="majorEastAsia" w:eastAsiaTheme="majorEastAsia"/>
          <w:szCs w:val="21"/>
        </w:rPr>
        <w:t>同时，请质疑供应商根据深圳政府采购智慧平台（http://zfcg.szggzy.com/）所发布的质疑指引、质疑函模板填写质疑函并提交质疑材料。</w:t>
      </w:r>
      <w:r>
        <w:rPr>
          <w:rFonts w:hint="eastAsia" w:asciiTheme="majorEastAsia" w:hAnsiTheme="majorEastAsia" w:eastAsiaTheme="majorEastAsia"/>
          <w:bCs/>
          <w:szCs w:val="21"/>
        </w:rPr>
        <w:t>地址：深圳市中正招标有限公司（深圳市福田区民田路171号新华保险大厦903），质疑咨询电话：0755-83026699。</w:t>
      </w:r>
    </w:p>
    <w:p w14:paraId="5E89F578">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52.6收文办理</w:t>
      </w:r>
      <w:r>
        <w:rPr>
          <w:rFonts w:asciiTheme="majorEastAsia" w:hAnsiTheme="majorEastAsia" w:eastAsiaTheme="majorEastAsia"/>
          <w:szCs w:val="21"/>
        </w:rPr>
        <w:t>程序</w:t>
      </w:r>
    </w:p>
    <w:p w14:paraId="08FF040A">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52.6.1供应商提交的质疑符合受理条件的，采购代理机构自收到质疑材料之日起即为受理，应当向供应商出具质疑函收文回执并可以要求其递交质疑的法定代表人（负责人）或者授权代理人签署质疑文书送达地址确认书。</w:t>
      </w:r>
    </w:p>
    <w:p w14:paraId="3F1BB4FA">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52.6.2供应商提交的质疑材料不符合质疑条件的，视情况处理：</w:t>
      </w:r>
    </w:p>
    <w:p w14:paraId="7188CAB4">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供应商提交的质疑材料不全或者未按要求签字或者盖章的，采购代理机构应当一次性告知供应商需补正的内容和补正期限。</w:t>
      </w:r>
    </w:p>
    <w:p w14:paraId="651BA54F">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供应商提交的质疑存在下列情形之一的，不予受理：</w:t>
      </w:r>
    </w:p>
    <w:p w14:paraId="33DB6AE9">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（1）质疑主体不满足要求的；</w:t>
      </w:r>
    </w:p>
    <w:p w14:paraId="2CDA688B">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（2）供应商自身权益未受到损害的；</w:t>
      </w:r>
    </w:p>
    <w:p w14:paraId="2B08BB05">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（3）供应商未在法定质疑期限内提出质疑的；</w:t>
      </w:r>
    </w:p>
    <w:p w14:paraId="579A6ECE">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（4）质疑材料不全或者未按要求签字或者盖章的情况下，要求补正后，逾期未补正或者补正后仍不符合规定的；</w:t>
      </w:r>
    </w:p>
    <w:p w14:paraId="46F2B5A8">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（5）其他不符合受理条件情形的。</w:t>
      </w:r>
    </w:p>
    <w:p w14:paraId="110BE525">
      <w:pPr>
        <w:spacing w:line="360"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质疑事项不予受理的，采购代理机构应当向供应商出具不符合质疑条件告知书。</w:t>
      </w:r>
    </w:p>
    <w:p w14:paraId="018B75ED">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52.7质疑答复时限</w:t>
      </w:r>
    </w:p>
    <w:p w14:paraId="2EB70F11">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自收文之日起七个工作日内。</w:t>
      </w:r>
    </w:p>
    <w:p w14:paraId="758C045D">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52.8投诉</w:t>
      </w:r>
    </w:p>
    <w:p w14:paraId="7CA19C36">
      <w:pPr>
        <w:spacing w:line="360" w:lineRule="auto"/>
        <w:rPr>
          <w:rFonts w:asciiTheme="majorEastAsia" w:hAnsiTheme="majorEastAsia" w:eastAsiaTheme="majorEastAsia"/>
          <w:szCs w:val="21"/>
        </w:rPr>
      </w:pPr>
      <w:r>
        <w:rPr>
          <w:rFonts w:hint="eastAsia" w:asciiTheme="majorEastAsia" w:hAnsiTheme="majorEastAsia" w:eastAsiaTheme="majorEastAsia"/>
          <w:szCs w:val="21"/>
        </w:rPr>
        <w:t xml:space="preserve">    对质疑答复不满意或者未在规定时间内答复的，提出质疑的供应商可以在答复期满后15个工作日内向同级财政部门投诉。</w:t>
      </w:r>
      <w:bookmarkEnd w:id="82"/>
    </w:p>
    <w:p w14:paraId="16A7B993">
      <w:pPr>
        <w:widowControl/>
        <w:jc w:val="left"/>
        <w:rPr>
          <w:rFonts w:ascii="宋体" w:hAnsi="宋体"/>
          <w:b/>
          <w:bCs/>
          <w:kern w:val="0"/>
          <w:sz w:val="24"/>
          <w:szCs w:val="20"/>
        </w:rPr>
      </w:pPr>
    </w:p>
    <w:sectPr>
      <w:pgSz w:w="11906" w:h="16838"/>
      <w:pgMar w:top="1440" w:right="1417" w:bottom="1440"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H Yb 2gj">
    <w:altName w:val="华文仿宋"/>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华文仿宋"/>
    <w:panose1 w:val="00000000000000000000"/>
    <w:charset w:val="00"/>
    <w:family w:val="auto"/>
    <w:pitch w:val="default"/>
    <w:sig w:usb0="00000000" w:usb1="00000000" w:usb2="00000000" w:usb3="00000000" w:csb0="00040001" w:csb1="00000000"/>
  </w:font>
  <w:font w:name="ˎ̥">
    <w:altName w:val="华文仿宋"/>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Arial (W1)">
    <w:altName w:val="Arial"/>
    <w:panose1 w:val="00000000000000000000"/>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长城仿宋">
    <w:altName w:val="仿宋"/>
    <w:panose1 w:val="00000000000000000000"/>
    <w:charset w:val="86"/>
    <w:family w:val="moder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汉仪细等线简">
    <w:altName w:val="华文仿宋"/>
    <w:panose1 w:val="00000000000000000000"/>
    <w:charset w:val="86"/>
    <w:family w:val="modern"/>
    <w:pitch w:val="default"/>
    <w:sig w:usb0="00000000" w:usb1="00000000" w:usb2="00000012" w:usb3="00000000" w:csb0="00040000" w:csb1="00000000"/>
  </w:font>
  <w:font w:name="新宋体">
    <w:panose1 w:val="02010609030101010101"/>
    <w:charset w:val="86"/>
    <w:family w:val="modern"/>
    <w:pitch w:val="default"/>
    <w:sig w:usb0="00000203" w:usb1="288F0000" w:usb2="00000006" w:usb3="00000000" w:csb0="00040001"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38497"/>
    </w:sdtPr>
    <w:sdtContent>
      <w:p w14:paraId="6DE4DB4C">
        <w:pPr>
          <w:pStyle w:val="28"/>
          <w:jc w:val="center"/>
        </w:pPr>
        <w:r>
          <w:fldChar w:fldCharType="begin"/>
        </w:r>
        <w:r>
          <w:instrText xml:space="preserve"> PAGE   \* MERGEFORMAT </w:instrText>
        </w:r>
        <w:r>
          <w:fldChar w:fldCharType="separate"/>
        </w:r>
        <w:r>
          <w:rPr>
            <w:lang w:val="zh-CN"/>
          </w:rPr>
          <w:t>32</w:t>
        </w:r>
        <w:r>
          <w:rPr>
            <w:lang w:val="zh-CN"/>
          </w:rPr>
          <w:fldChar w:fldCharType="end"/>
        </w:r>
      </w:p>
    </w:sdtContent>
  </w:sdt>
  <w:p w14:paraId="677E8398">
    <w:pPr>
      <w:pStyle w:val="2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g">
    <w15:presenceInfo w15:providerId="None" w15:userId="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iN2JjZGQwODQzNTVmMDg4ZGNmNzRhYmJlZDY2YTUifQ=="/>
  </w:docVars>
  <w:rsids>
    <w:rsidRoot w:val="00103A86"/>
    <w:rsid w:val="00000F5F"/>
    <w:rsid w:val="00001526"/>
    <w:rsid w:val="00002B3E"/>
    <w:rsid w:val="000051FB"/>
    <w:rsid w:val="00010CD3"/>
    <w:rsid w:val="00010EAF"/>
    <w:rsid w:val="00013C6F"/>
    <w:rsid w:val="00013F11"/>
    <w:rsid w:val="00017B27"/>
    <w:rsid w:val="00017EF4"/>
    <w:rsid w:val="00020580"/>
    <w:rsid w:val="000210AC"/>
    <w:rsid w:val="000212B9"/>
    <w:rsid w:val="00026D62"/>
    <w:rsid w:val="0002760A"/>
    <w:rsid w:val="00031553"/>
    <w:rsid w:val="00033434"/>
    <w:rsid w:val="00035488"/>
    <w:rsid w:val="00041BD3"/>
    <w:rsid w:val="00043C69"/>
    <w:rsid w:val="00045D06"/>
    <w:rsid w:val="00047456"/>
    <w:rsid w:val="0005288D"/>
    <w:rsid w:val="00052AA5"/>
    <w:rsid w:val="00053282"/>
    <w:rsid w:val="00053E42"/>
    <w:rsid w:val="00054E39"/>
    <w:rsid w:val="00055F35"/>
    <w:rsid w:val="00056152"/>
    <w:rsid w:val="00057148"/>
    <w:rsid w:val="00072314"/>
    <w:rsid w:val="00072877"/>
    <w:rsid w:val="00076F21"/>
    <w:rsid w:val="00081E93"/>
    <w:rsid w:val="00084FFC"/>
    <w:rsid w:val="000878B9"/>
    <w:rsid w:val="00091185"/>
    <w:rsid w:val="00093911"/>
    <w:rsid w:val="00094626"/>
    <w:rsid w:val="0009519F"/>
    <w:rsid w:val="00097123"/>
    <w:rsid w:val="000A0AE2"/>
    <w:rsid w:val="000A1CCC"/>
    <w:rsid w:val="000A2349"/>
    <w:rsid w:val="000A2EEF"/>
    <w:rsid w:val="000B1F98"/>
    <w:rsid w:val="000B285C"/>
    <w:rsid w:val="000B3600"/>
    <w:rsid w:val="000B4026"/>
    <w:rsid w:val="000B4402"/>
    <w:rsid w:val="000B4536"/>
    <w:rsid w:val="000B5D6F"/>
    <w:rsid w:val="000B7AEC"/>
    <w:rsid w:val="000B7D39"/>
    <w:rsid w:val="000C1237"/>
    <w:rsid w:val="000C2DF7"/>
    <w:rsid w:val="000C3C3C"/>
    <w:rsid w:val="000C6F22"/>
    <w:rsid w:val="000D1E66"/>
    <w:rsid w:val="000D2659"/>
    <w:rsid w:val="000D2792"/>
    <w:rsid w:val="000D3A8C"/>
    <w:rsid w:val="000D63EA"/>
    <w:rsid w:val="000D7062"/>
    <w:rsid w:val="000D7BB3"/>
    <w:rsid w:val="000E0B80"/>
    <w:rsid w:val="000E0FC1"/>
    <w:rsid w:val="000E1A4A"/>
    <w:rsid w:val="000F345B"/>
    <w:rsid w:val="000F37FF"/>
    <w:rsid w:val="000F3E6E"/>
    <w:rsid w:val="000F4129"/>
    <w:rsid w:val="000F5B06"/>
    <w:rsid w:val="000F5ECB"/>
    <w:rsid w:val="000F6BC0"/>
    <w:rsid w:val="000F74E0"/>
    <w:rsid w:val="000F7A75"/>
    <w:rsid w:val="000F7F8C"/>
    <w:rsid w:val="00100E4E"/>
    <w:rsid w:val="00101F69"/>
    <w:rsid w:val="00101F8B"/>
    <w:rsid w:val="00103A86"/>
    <w:rsid w:val="00105734"/>
    <w:rsid w:val="001069FB"/>
    <w:rsid w:val="00112114"/>
    <w:rsid w:val="001207E9"/>
    <w:rsid w:val="00123879"/>
    <w:rsid w:val="00123D47"/>
    <w:rsid w:val="00124153"/>
    <w:rsid w:val="00127F85"/>
    <w:rsid w:val="00132093"/>
    <w:rsid w:val="00135F8D"/>
    <w:rsid w:val="00136086"/>
    <w:rsid w:val="0013643E"/>
    <w:rsid w:val="00136A99"/>
    <w:rsid w:val="0013763C"/>
    <w:rsid w:val="0014134B"/>
    <w:rsid w:val="001429E4"/>
    <w:rsid w:val="001434C4"/>
    <w:rsid w:val="00144AF1"/>
    <w:rsid w:val="00144C0F"/>
    <w:rsid w:val="00146B6B"/>
    <w:rsid w:val="00154E01"/>
    <w:rsid w:val="0016001B"/>
    <w:rsid w:val="00161B46"/>
    <w:rsid w:val="00162A02"/>
    <w:rsid w:val="0016401E"/>
    <w:rsid w:val="00164645"/>
    <w:rsid w:val="00165097"/>
    <w:rsid w:val="001663AA"/>
    <w:rsid w:val="00166DC3"/>
    <w:rsid w:val="00172186"/>
    <w:rsid w:val="00173FA7"/>
    <w:rsid w:val="00176757"/>
    <w:rsid w:val="001774EA"/>
    <w:rsid w:val="001779CB"/>
    <w:rsid w:val="00177D78"/>
    <w:rsid w:val="001829DD"/>
    <w:rsid w:val="00182C14"/>
    <w:rsid w:val="00182F93"/>
    <w:rsid w:val="00183E48"/>
    <w:rsid w:val="0018445D"/>
    <w:rsid w:val="00186C13"/>
    <w:rsid w:val="0019098F"/>
    <w:rsid w:val="00190E39"/>
    <w:rsid w:val="00192FA2"/>
    <w:rsid w:val="00195091"/>
    <w:rsid w:val="001A4688"/>
    <w:rsid w:val="001A6235"/>
    <w:rsid w:val="001A7B97"/>
    <w:rsid w:val="001A7E9F"/>
    <w:rsid w:val="001B0736"/>
    <w:rsid w:val="001B182A"/>
    <w:rsid w:val="001B23DF"/>
    <w:rsid w:val="001B3E1A"/>
    <w:rsid w:val="001B78B8"/>
    <w:rsid w:val="001B792B"/>
    <w:rsid w:val="001C2A95"/>
    <w:rsid w:val="001C3BC1"/>
    <w:rsid w:val="001D297A"/>
    <w:rsid w:val="001D532C"/>
    <w:rsid w:val="001E021F"/>
    <w:rsid w:val="001E5166"/>
    <w:rsid w:val="001E63A6"/>
    <w:rsid w:val="001E670C"/>
    <w:rsid w:val="001E7EC4"/>
    <w:rsid w:val="001F2756"/>
    <w:rsid w:val="001F5DBD"/>
    <w:rsid w:val="001F646F"/>
    <w:rsid w:val="001F7F91"/>
    <w:rsid w:val="00200342"/>
    <w:rsid w:val="00201237"/>
    <w:rsid w:val="00202335"/>
    <w:rsid w:val="00202D92"/>
    <w:rsid w:val="002034C2"/>
    <w:rsid w:val="00203AC5"/>
    <w:rsid w:val="00206F1A"/>
    <w:rsid w:val="002074CD"/>
    <w:rsid w:val="002108E8"/>
    <w:rsid w:val="002135F8"/>
    <w:rsid w:val="00217A36"/>
    <w:rsid w:val="00217B3F"/>
    <w:rsid w:val="00220C5E"/>
    <w:rsid w:val="00222612"/>
    <w:rsid w:val="002300CF"/>
    <w:rsid w:val="00231DCF"/>
    <w:rsid w:val="00231E94"/>
    <w:rsid w:val="00231FB6"/>
    <w:rsid w:val="00234A66"/>
    <w:rsid w:val="002354A2"/>
    <w:rsid w:val="002418AD"/>
    <w:rsid w:val="00241C2F"/>
    <w:rsid w:val="00243E8A"/>
    <w:rsid w:val="0024433A"/>
    <w:rsid w:val="002452F6"/>
    <w:rsid w:val="002477F6"/>
    <w:rsid w:val="00247934"/>
    <w:rsid w:val="00252837"/>
    <w:rsid w:val="002531A5"/>
    <w:rsid w:val="00254756"/>
    <w:rsid w:val="002606E7"/>
    <w:rsid w:val="00260C60"/>
    <w:rsid w:val="002629C0"/>
    <w:rsid w:val="002652B4"/>
    <w:rsid w:val="00265F79"/>
    <w:rsid w:val="00267FC8"/>
    <w:rsid w:val="00270871"/>
    <w:rsid w:val="0027121B"/>
    <w:rsid w:val="0027312A"/>
    <w:rsid w:val="00273D6B"/>
    <w:rsid w:val="002753A8"/>
    <w:rsid w:val="0028241E"/>
    <w:rsid w:val="002867E0"/>
    <w:rsid w:val="00287E9E"/>
    <w:rsid w:val="00287F91"/>
    <w:rsid w:val="0029138D"/>
    <w:rsid w:val="00291B1B"/>
    <w:rsid w:val="00291D1C"/>
    <w:rsid w:val="00292956"/>
    <w:rsid w:val="002934B9"/>
    <w:rsid w:val="00293AB2"/>
    <w:rsid w:val="00294F5F"/>
    <w:rsid w:val="002952BC"/>
    <w:rsid w:val="0029679A"/>
    <w:rsid w:val="002968EA"/>
    <w:rsid w:val="002A19D6"/>
    <w:rsid w:val="002A1C9A"/>
    <w:rsid w:val="002A6A8D"/>
    <w:rsid w:val="002A73B4"/>
    <w:rsid w:val="002A7F40"/>
    <w:rsid w:val="002B1E2D"/>
    <w:rsid w:val="002B4848"/>
    <w:rsid w:val="002B73FC"/>
    <w:rsid w:val="002B763E"/>
    <w:rsid w:val="002C2B90"/>
    <w:rsid w:val="002C317D"/>
    <w:rsid w:val="002C3CEF"/>
    <w:rsid w:val="002C76FC"/>
    <w:rsid w:val="002D0555"/>
    <w:rsid w:val="002D175A"/>
    <w:rsid w:val="002D34A5"/>
    <w:rsid w:val="002D35C6"/>
    <w:rsid w:val="002D3FE3"/>
    <w:rsid w:val="002D5B4D"/>
    <w:rsid w:val="002D5F35"/>
    <w:rsid w:val="002E0E9F"/>
    <w:rsid w:val="002E2CA0"/>
    <w:rsid w:val="002E2D89"/>
    <w:rsid w:val="002E3119"/>
    <w:rsid w:val="002E424C"/>
    <w:rsid w:val="002E665D"/>
    <w:rsid w:val="002E6858"/>
    <w:rsid w:val="002E6BA0"/>
    <w:rsid w:val="002E737B"/>
    <w:rsid w:val="002F01F4"/>
    <w:rsid w:val="002F4F2E"/>
    <w:rsid w:val="002F6879"/>
    <w:rsid w:val="002F7C97"/>
    <w:rsid w:val="003006BF"/>
    <w:rsid w:val="003008B6"/>
    <w:rsid w:val="00300B8A"/>
    <w:rsid w:val="0030199B"/>
    <w:rsid w:val="00304669"/>
    <w:rsid w:val="003134D0"/>
    <w:rsid w:val="0031455C"/>
    <w:rsid w:val="00315CA6"/>
    <w:rsid w:val="0031688D"/>
    <w:rsid w:val="0032060F"/>
    <w:rsid w:val="0032136F"/>
    <w:rsid w:val="0032158E"/>
    <w:rsid w:val="00321C26"/>
    <w:rsid w:val="00321D49"/>
    <w:rsid w:val="00323BF8"/>
    <w:rsid w:val="003274C9"/>
    <w:rsid w:val="00334DFC"/>
    <w:rsid w:val="00335B69"/>
    <w:rsid w:val="00335E1F"/>
    <w:rsid w:val="00340269"/>
    <w:rsid w:val="00341462"/>
    <w:rsid w:val="00343947"/>
    <w:rsid w:val="00343D25"/>
    <w:rsid w:val="0034602D"/>
    <w:rsid w:val="0034731C"/>
    <w:rsid w:val="00350D9C"/>
    <w:rsid w:val="00352073"/>
    <w:rsid w:val="003520D2"/>
    <w:rsid w:val="00353324"/>
    <w:rsid w:val="0035334F"/>
    <w:rsid w:val="00353C2B"/>
    <w:rsid w:val="003541EA"/>
    <w:rsid w:val="00355255"/>
    <w:rsid w:val="0035786E"/>
    <w:rsid w:val="003604E6"/>
    <w:rsid w:val="00362824"/>
    <w:rsid w:val="00364E19"/>
    <w:rsid w:val="0036526C"/>
    <w:rsid w:val="00366D19"/>
    <w:rsid w:val="00366E70"/>
    <w:rsid w:val="00381E45"/>
    <w:rsid w:val="00383F0B"/>
    <w:rsid w:val="00385398"/>
    <w:rsid w:val="003861CD"/>
    <w:rsid w:val="00386BE2"/>
    <w:rsid w:val="003909B8"/>
    <w:rsid w:val="00391C88"/>
    <w:rsid w:val="00395A00"/>
    <w:rsid w:val="0039674E"/>
    <w:rsid w:val="003A2F53"/>
    <w:rsid w:val="003A61C9"/>
    <w:rsid w:val="003A7BDB"/>
    <w:rsid w:val="003B1518"/>
    <w:rsid w:val="003B477B"/>
    <w:rsid w:val="003B5360"/>
    <w:rsid w:val="003C1A26"/>
    <w:rsid w:val="003C2295"/>
    <w:rsid w:val="003C3E40"/>
    <w:rsid w:val="003C5B3E"/>
    <w:rsid w:val="003D1B12"/>
    <w:rsid w:val="003D2340"/>
    <w:rsid w:val="003D23B8"/>
    <w:rsid w:val="003D2828"/>
    <w:rsid w:val="003D2EFA"/>
    <w:rsid w:val="003D3346"/>
    <w:rsid w:val="003D408D"/>
    <w:rsid w:val="003D6CD3"/>
    <w:rsid w:val="003E3B27"/>
    <w:rsid w:val="003E51D5"/>
    <w:rsid w:val="003E77F1"/>
    <w:rsid w:val="003E7AB6"/>
    <w:rsid w:val="003F1407"/>
    <w:rsid w:val="003F41FE"/>
    <w:rsid w:val="003F5834"/>
    <w:rsid w:val="003F5E4A"/>
    <w:rsid w:val="003F7201"/>
    <w:rsid w:val="003F7FB5"/>
    <w:rsid w:val="00401E20"/>
    <w:rsid w:val="0040345C"/>
    <w:rsid w:val="00406FB6"/>
    <w:rsid w:val="0041065D"/>
    <w:rsid w:val="004107D9"/>
    <w:rsid w:val="00411AFE"/>
    <w:rsid w:val="00412446"/>
    <w:rsid w:val="00415BBF"/>
    <w:rsid w:val="00415C66"/>
    <w:rsid w:val="00415D20"/>
    <w:rsid w:val="00416664"/>
    <w:rsid w:val="00422275"/>
    <w:rsid w:val="004235A4"/>
    <w:rsid w:val="004268C7"/>
    <w:rsid w:val="00436747"/>
    <w:rsid w:val="00436823"/>
    <w:rsid w:val="00436D0E"/>
    <w:rsid w:val="0043714D"/>
    <w:rsid w:val="0044288C"/>
    <w:rsid w:val="0044387F"/>
    <w:rsid w:val="00444F45"/>
    <w:rsid w:val="00452496"/>
    <w:rsid w:val="00457241"/>
    <w:rsid w:val="00457969"/>
    <w:rsid w:val="00470214"/>
    <w:rsid w:val="004702A4"/>
    <w:rsid w:val="00470AC3"/>
    <w:rsid w:val="00470DDE"/>
    <w:rsid w:val="00473BFB"/>
    <w:rsid w:val="00476ABF"/>
    <w:rsid w:val="00481615"/>
    <w:rsid w:val="0048258B"/>
    <w:rsid w:val="004836AC"/>
    <w:rsid w:val="00484215"/>
    <w:rsid w:val="00484D26"/>
    <w:rsid w:val="00484DBE"/>
    <w:rsid w:val="004858C0"/>
    <w:rsid w:val="004861CC"/>
    <w:rsid w:val="004867C3"/>
    <w:rsid w:val="00490CC8"/>
    <w:rsid w:val="0049604C"/>
    <w:rsid w:val="00496A0A"/>
    <w:rsid w:val="004972E7"/>
    <w:rsid w:val="004A2765"/>
    <w:rsid w:val="004A4F5D"/>
    <w:rsid w:val="004A5C8C"/>
    <w:rsid w:val="004A60AC"/>
    <w:rsid w:val="004A667C"/>
    <w:rsid w:val="004A6E9C"/>
    <w:rsid w:val="004B3843"/>
    <w:rsid w:val="004B3A3A"/>
    <w:rsid w:val="004B60AE"/>
    <w:rsid w:val="004B6178"/>
    <w:rsid w:val="004B757E"/>
    <w:rsid w:val="004B7C51"/>
    <w:rsid w:val="004C1ACC"/>
    <w:rsid w:val="004C31CC"/>
    <w:rsid w:val="004C40D7"/>
    <w:rsid w:val="004C5625"/>
    <w:rsid w:val="004C5ED6"/>
    <w:rsid w:val="004D02D0"/>
    <w:rsid w:val="004D04CE"/>
    <w:rsid w:val="004D08F6"/>
    <w:rsid w:val="004D536D"/>
    <w:rsid w:val="004D5953"/>
    <w:rsid w:val="004E0C6E"/>
    <w:rsid w:val="004E3678"/>
    <w:rsid w:val="004E39F1"/>
    <w:rsid w:val="004E48A7"/>
    <w:rsid w:val="004F18FA"/>
    <w:rsid w:val="004F3B85"/>
    <w:rsid w:val="004F5425"/>
    <w:rsid w:val="004F5B29"/>
    <w:rsid w:val="004F7FD4"/>
    <w:rsid w:val="00502B0E"/>
    <w:rsid w:val="00502F84"/>
    <w:rsid w:val="00505EE2"/>
    <w:rsid w:val="00507DFF"/>
    <w:rsid w:val="0051248B"/>
    <w:rsid w:val="005168DE"/>
    <w:rsid w:val="00521293"/>
    <w:rsid w:val="00523ABC"/>
    <w:rsid w:val="00523BC1"/>
    <w:rsid w:val="005244EE"/>
    <w:rsid w:val="00524C0B"/>
    <w:rsid w:val="005275BC"/>
    <w:rsid w:val="005276AA"/>
    <w:rsid w:val="00530F6C"/>
    <w:rsid w:val="00531FE5"/>
    <w:rsid w:val="00532F7C"/>
    <w:rsid w:val="00535553"/>
    <w:rsid w:val="0053625D"/>
    <w:rsid w:val="0053628E"/>
    <w:rsid w:val="00536989"/>
    <w:rsid w:val="00537D2D"/>
    <w:rsid w:val="00540E25"/>
    <w:rsid w:val="00541552"/>
    <w:rsid w:val="00545707"/>
    <w:rsid w:val="005473DF"/>
    <w:rsid w:val="00547E43"/>
    <w:rsid w:val="0055051A"/>
    <w:rsid w:val="00550D1C"/>
    <w:rsid w:val="005567C6"/>
    <w:rsid w:val="00556EB7"/>
    <w:rsid w:val="0055768A"/>
    <w:rsid w:val="00560F57"/>
    <w:rsid w:val="005620A7"/>
    <w:rsid w:val="005625D5"/>
    <w:rsid w:val="0056570D"/>
    <w:rsid w:val="00565ED8"/>
    <w:rsid w:val="00566BD4"/>
    <w:rsid w:val="00570797"/>
    <w:rsid w:val="00572443"/>
    <w:rsid w:val="0057724E"/>
    <w:rsid w:val="0058063A"/>
    <w:rsid w:val="005808E0"/>
    <w:rsid w:val="0058149B"/>
    <w:rsid w:val="0058192B"/>
    <w:rsid w:val="00581E11"/>
    <w:rsid w:val="00582367"/>
    <w:rsid w:val="00584A24"/>
    <w:rsid w:val="00585EC1"/>
    <w:rsid w:val="00586704"/>
    <w:rsid w:val="0059128B"/>
    <w:rsid w:val="005946C7"/>
    <w:rsid w:val="00595CFA"/>
    <w:rsid w:val="005A46D8"/>
    <w:rsid w:val="005A51D2"/>
    <w:rsid w:val="005A7BB6"/>
    <w:rsid w:val="005B62D6"/>
    <w:rsid w:val="005D3725"/>
    <w:rsid w:val="005D4FDB"/>
    <w:rsid w:val="005D6295"/>
    <w:rsid w:val="005D6659"/>
    <w:rsid w:val="005D7AF6"/>
    <w:rsid w:val="005E2FAA"/>
    <w:rsid w:val="005E3D64"/>
    <w:rsid w:val="005E45FD"/>
    <w:rsid w:val="005E5D0E"/>
    <w:rsid w:val="005E6167"/>
    <w:rsid w:val="005F1472"/>
    <w:rsid w:val="005F1B11"/>
    <w:rsid w:val="005F22E2"/>
    <w:rsid w:val="005F2EDA"/>
    <w:rsid w:val="005F318E"/>
    <w:rsid w:val="005F6695"/>
    <w:rsid w:val="006049A0"/>
    <w:rsid w:val="00606E3B"/>
    <w:rsid w:val="00607E8A"/>
    <w:rsid w:val="0061141D"/>
    <w:rsid w:val="006137C4"/>
    <w:rsid w:val="00615160"/>
    <w:rsid w:val="006154A6"/>
    <w:rsid w:val="00615993"/>
    <w:rsid w:val="00615BEC"/>
    <w:rsid w:val="00616062"/>
    <w:rsid w:val="00620A11"/>
    <w:rsid w:val="00624B9B"/>
    <w:rsid w:val="0062508B"/>
    <w:rsid w:val="00625CB7"/>
    <w:rsid w:val="00630B07"/>
    <w:rsid w:val="0063464A"/>
    <w:rsid w:val="00636B52"/>
    <w:rsid w:val="00641F0A"/>
    <w:rsid w:val="006421A8"/>
    <w:rsid w:val="00642BA7"/>
    <w:rsid w:val="00643C1D"/>
    <w:rsid w:val="00643E89"/>
    <w:rsid w:val="00645D4B"/>
    <w:rsid w:val="00646407"/>
    <w:rsid w:val="00651051"/>
    <w:rsid w:val="0065448C"/>
    <w:rsid w:val="0066244E"/>
    <w:rsid w:val="00665DD7"/>
    <w:rsid w:val="006662BB"/>
    <w:rsid w:val="00667476"/>
    <w:rsid w:val="00670CB9"/>
    <w:rsid w:val="006737C8"/>
    <w:rsid w:val="00675289"/>
    <w:rsid w:val="00675810"/>
    <w:rsid w:val="00677A79"/>
    <w:rsid w:val="00681216"/>
    <w:rsid w:val="006835C3"/>
    <w:rsid w:val="00685854"/>
    <w:rsid w:val="00685E9E"/>
    <w:rsid w:val="00686EE7"/>
    <w:rsid w:val="00687212"/>
    <w:rsid w:val="00690397"/>
    <w:rsid w:val="00692281"/>
    <w:rsid w:val="00693711"/>
    <w:rsid w:val="00694D5D"/>
    <w:rsid w:val="006951CF"/>
    <w:rsid w:val="006958C0"/>
    <w:rsid w:val="00696A4E"/>
    <w:rsid w:val="006971BC"/>
    <w:rsid w:val="006A0193"/>
    <w:rsid w:val="006A13AC"/>
    <w:rsid w:val="006A5182"/>
    <w:rsid w:val="006A5DC8"/>
    <w:rsid w:val="006A65A7"/>
    <w:rsid w:val="006A664E"/>
    <w:rsid w:val="006B098C"/>
    <w:rsid w:val="006B2978"/>
    <w:rsid w:val="006B311A"/>
    <w:rsid w:val="006B315C"/>
    <w:rsid w:val="006B3FF4"/>
    <w:rsid w:val="006C1B57"/>
    <w:rsid w:val="006C1F3B"/>
    <w:rsid w:val="006C2072"/>
    <w:rsid w:val="006C23B9"/>
    <w:rsid w:val="006C3731"/>
    <w:rsid w:val="006D0CCD"/>
    <w:rsid w:val="006D1972"/>
    <w:rsid w:val="006D1F18"/>
    <w:rsid w:val="006D25B3"/>
    <w:rsid w:val="006D4071"/>
    <w:rsid w:val="006D6578"/>
    <w:rsid w:val="006E168A"/>
    <w:rsid w:val="006E38C9"/>
    <w:rsid w:val="006E459D"/>
    <w:rsid w:val="006E5EAA"/>
    <w:rsid w:val="006E699A"/>
    <w:rsid w:val="006E74F5"/>
    <w:rsid w:val="006E78BD"/>
    <w:rsid w:val="006E791B"/>
    <w:rsid w:val="006F03E1"/>
    <w:rsid w:val="006F1766"/>
    <w:rsid w:val="006F6C4C"/>
    <w:rsid w:val="0070084E"/>
    <w:rsid w:val="0070351A"/>
    <w:rsid w:val="007103FD"/>
    <w:rsid w:val="00710F8C"/>
    <w:rsid w:val="00711729"/>
    <w:rsid w:val="00712A61"/>
    <w:rsid w:val="0071385C"/>
    <w:rsid w:val="007204DB"/>
    <w:rsid w:val="007207C9"/>
    <w:rsid w:val="0072168E"/>
    <w:rsid w:val="00722FBA"/>
    <w:rsid w:val="007241B3"/>
    <w:rsid w:val="007248F4"/>
    <w:rsid w:val="00724CB4"/>
    <w:rsid w:val="007263ED"/>
    <w:rsid w:val="00726A25"/>
    <w:rsid w:val="00727DFE"/>
    <w:rsid w:val="0073340D"/>
    <w:rsid w:val="007338AF"/>
    <w:rsid w:val="00737FB5"/>
    <w:rsid w:val="007403FC"/>
    <w:rsid w:val="00742F00"/>
    <w:rsid w:val="00750911"/>
    <w:rsid w:val="00751F91"/>
    <w:rsid w:val="00757318"/>
    <w:rsid w:val="00760BD7"/>
    <w:rsid w:val="007613A2"/>
    <w:rsid w:val="00761C29"/>
    <w:rsid w:val="00763C5A"/>
    <w:rsid w:val="0076737B"/>
    <w:rsid w:val="00767F62"/>
    <w:rsid w:val="007722E5"/>
    <w:rsid w:val="00772474"/>
    <w:rsid w:val="0077351D"/>
    <w:rsid w:val="007746D6"/>
    <w:rsid w:val="00774778"/>
    <w:rsid w:val="0077772B"/>
    <w:rsid w:val="00777A80"/>
    <w:rsid w:val="00781154"/>
    <w:rsid w:val="00784499"/>
    <w:rsid w:val="00785645"/>
    <w:rsid w:val="0078577D"/>
    <w:rsid w:val="0078579D"/>
    <w:rsid w:val="007868DA"/>
    <w:rsid w:val="00787860"/>
    <w:rsid w:val="00792740"/>
    <w:rsid w:val="007957D3"/>
    <w:rsid w:val="00795CB4"/>
    <w:rsid w:val="007A2C8D"/>
    <w:rsid w:val="007A3488"/>
    <w:rsid w:val="007A46F2"/>
    <w:rsid w:val="007A511E"/>
    <w:rsid w:val="007A6441"/>
    <w:rsid w:val="007B0C04"/>
    <w:rsid w:val="007B16E8"/>
    <w:rsid w:val="007B1B17"/>
    <w:rsid w:val="007B2FB1"/>
    <w:rsid w:val="007B536E"/>
    <w:rsid w:val="007B57D9"/>
    <w:rsid w:val="007B6E38"/>
    <w:rsid w:val="007B7801"/>
    <w:rsid w:val="007C0B15"/>
    <w:rsid w:val="007C0FCA"/>
    <w:rsid w:val="007C2928"/>
    <w:rsid w:val="007C2C9B"/>
    <w:rsid w:val="007C4BFF"/>
    <w:rsid w:val="007C65F9"/>
    <w:rsid w:val="007C6CEB"/>
    <w:rsid w:val="007D1AB6"/>
    <w:rsid w:val="007D3423"/>
    <w:rsid w:val="007D35D5"/>
    <w:rsid w:val="007D5EFB"/>
    <w:rsid w:val="007E0D64"/>
    <w:rsid w:val="007E1313"/>
    <w:rsid w:val="007E3305"/>
    <w:rsid w:val="007E360C"/>
    <w:rsid w:val="007E41F2"/>
    <w:rsid w:val="007E45EA"/>
    <w:rsid w:val="007E4FA0"/>
    <w:rsid w:val="007E4FC3"/>
    <w:rsid w:val="007E6F50"/>
    <w:rsid w:val="007E79DF"/>
    <w:rsid w:val="007F3D14"/>
    <w:rsid w:val="007F46C5"/>
    <w:rsid w:val="007F6FC7"/>
    <w:rsid w:val="008031DA"/>
    <w:rsid w:val="00803DCC"/>
    <w:rsid w:val="00805099"/>
    <w:rsid w:val="00805780"/>
    <w:rsid w:val="00810F1A"/>
    <w:rsid w:val="00813E8D"/>
    <w:rsid w:val="00815984"/>
    <w:rsid w:val="00816D32"/>
    <w:rsid w:val="00817229"/>
    <w:rsid w:val="008201D8"/>
    <w:rsid w:val="00823940"/>
    <w:rsid w:val="00824CF8"/>
    <w:rsid w:val="00825A27"/>
    <w:rsid w:val="00826371"/>
    <w:rsid w:val="0083068F"/>
    <w:rsid w:val="00830D96"/>
    <w:rsid w:val="00835502"/>
    <w:rsid w:val="008401C6"/>
    <w:rsid w:val="00842565"/>
    <w:rsid w:val="00844024"/>
    <w:rsid w:val="0084498D"/>
    <w:rsid w:val="00850637"/>
    <w:rsid w:val="00852FDF"/>
    <w:rsid w:val="00853528"/>
    <w:rsid w:val="008554F3"/>
    <w:rsid w:val="0086173E"/>
    <w:rsid w:val="00861A6D"/>
    <w:rsid w:val="00864900"/>
    <w:rsid w:val="008650CC"/>
    <w:rsid w:val="00871284"/>
    <w:rsid w:val="00871A7E"/>
    <w:rsid w:val="00874608"/>
    <w:rsid w:val="008757E7"/>
    <w:rsid w:val="008758EA"/>
    <w:rsid w:val="0087603B"/>
    <w:rsid w:val="0087661F"/>
    <w:rsid w:val="00876C1D"/>
    <w:rsid w:val="008806FF"/>
    <w:rsid w:val="00880868"/>
    <w:rsid w:val="008852FB"/>
    <w:rsid w:val="00885781"/>
    <w:rsid w:val="008905B7"/>
    <w:rsid w:val="00894190"/>
    <w:rsid w:val="008952AD"/>
    <w:rsid w:val="008968CE"/>
    <w:rsid w:val="00896E4B"/>
    <w:rsid w:val="00897C06"/>
    <w:rsid w:val="008A18E2"/>
    <w:rsid w:val="008A245F"/>
    <w:rsid w:val="008A4CD7"/>
    <w:rsid w:val="008A6376"/>
    <w:rsid w:val="008A6815"/>
    <w:rsid w:val="008A6A96"/>
    <w:rsid w:val="008B0FE3"/>
    <w:rsid w:val="008B2A24"/>
    <w:rsid w:val="008B313A"/>
    <w:rsid w:val="008B412C"/>
    <w:rsid w:val="008B4C51"/>
    <w:rsid w:val="008B702D"/>
    <w:rsid w:val="008B7AC3"/>
    <w:rsid w:val="008C23F3"/>
    <w:rsid w:val="008C34E9"/>
    <w:rsid w:val="008C463B"/>
    <w:rsid w:val="008C6DFC"/>
    <w:rsid w:val="008C70E8"/>
    <w:rsid w:val="008C795C"/>
    <w:rsid w:val="008D03C4"/>
    <w:rsid w:val="008D2228"/>
    <w:rsid w:val="008D33E3"/>
    <w:rsid w:val="008D3709"/>
    <w:rsid w:val="008D59DB"/>
    <w:rsid w:val="008D5E13"/>
    <w:rsid w:val="008E461E"/>
    <w:rsid w:val="008E514D"/>
    <w:rsid w:val="008E5A20"/>
    <w:rsid w:val="008E5ABA"/>
    <w:rsid w:val="008E6C98"/>
    <w:rsid w:val="008E784D"/>
    <w:rsid w:val="008E7A67"/>
    <w:rsid w:val="008E7C1B"/>
    <w:rsid w:val="008F0E38"/>
    <w:rsid w:val="008F1CB5"/>
    <w:rsid w:val="008F26F6"/>
    <w:rsid w:val="008F4025"/>
    <w:rsid w:val="008F48EA"/>
    <w:rsid w:val="008F6908"/>
    <w:rsid w:val="00911492"/>
    <w:rsid w:val="00911682"/>
    <w:rsid w:val="00911DA3"/>
    <w:rsid w:val="009148F9"/>
    <w:rsid w:val="009154BF"/>
    <w:rsid w:val="009164A3"/>
    <w:rsid w:val="009164D4"/>
    <w:rsid w:val="00921D32"/>
    <w:rsid w:val="00924D9E"/>
    <w:rsid w:val="00927D9D"/>
    <w:rsid w:val="0093398E"/>
    <w:rsid w:val="0093468D"/>
    <w:rsid w:val="0093724D"/>
    <w:rsid w:val="00942B7F"/>
    <w:rsid w:val="00942D0C"/>
    <w:rsid w:val="00945B5C"/>
    <w:rsid w:val="00946FC2"/>
    <w:rsid w:val="00951232"/>
    <w:rsid w:val="00951278"/>
    <w:rsid w:val="0095651E"/>
    <w:rsid w:val="00956A14"/>
    <w:rsid w:val="00961CE9"/>
    <w:rsid w:val="0096217D"/>
    <w:rsid w:val="009625A5"/>
    <w:rsid w:val="0096260A"/>
    <w:rsid w:val="00962B14"/>
    <w:rsid w:val="009645EB"/>
    <w:rsid w:val="009646FC"/>
    <w:rsid w:val="00964F3E"/>
    <w:rsid w:val="00965D54"/>
    <w:rsid w:val="00970451"/>
    <w:rsid w:val="00971A14"/>
    <w:rsid w:val="00971B37"/>
    <w:rsid w:val="00974DB1"/>
    <w:rsid w:val="00975251"/>
    <w:rsid w:val="00975F55"/>
    <w:rsid w:val="0097677D"/>
    <w:rsid w:val="009767FD"/>
    <w:rsid w:val="00976FD1"/>
    <w:rsid w:val="009823CC"/>
    <w:rsid w:val="009824C2"/>
    <w:rsid w:val="009829EA"/>
    <w:rsid w:val="00984F4C"/>
    <w:rsid w:val="0098594E"/>
    <w:rsid w:val="009862D5"/>
    <w:rsid w:val="00987F57"/>
    <w:rsid w:val="00991492"/>
    <w:rsid w:val="00993BA7"/>
    <w:rsid w:val="00993F6B"/>
    <w:rsid w:val="00994092"/>
    <w:rsid w:val="009945C9"/>
    <w:rsid w:val="009A1A18"/>
    <w:rsid w:val="009A2405"/>
    <w:rsid w:val="009A4A1B"/>
    <w:rsid w:val="009A5506"/>
    <w:rsid w:val="009A575C"/>
    <w:rsid w:val="009A5C84"/>
    <w:rsid w:val="009A5DBB"/>
    <w:rsid w:val="009A7347"/>
    <w:rsid w:val="009B20DA"/>
    <w:rsid w:val="009B2C44"/>
    <w:rsid w:val="009B2E95"/>
    <w:rsid w:val="009B31DF"/>
    <w:rsid w:val="009B3BCB"/>
    <w:rsid w:val="009B3F58"/>
    <w:rsid w:val="009B44D9"/>
    <w:rsid w:val="009B6C5A"/>
    <w:rsid w:val="009B75D4"/>
    <w:rsid w:val="009B796A"/>
    <w:rsid w:val="009C47A8"/>
    <w:rsid w:val="009C5A01"/>
    <w:rsid w:val="009C6BEE"/>
    <w:rsid w:val="009D008F"/>
    <w:rsid w:val="009E1E90"/>
    <w:rsid w:val="009E4659"/>
    <w:rsid w:val="009E524D"/>
    <w:rsid w:val="009E5E7B"/>
    <w:rsid w:val="009F50AA"/>
    <w:rsid w:val="009F6192"/>
    <w:rsid w:val="009F61F2"/>
    <w:rsid w:val="00A046B8"/>
    <w:rsid w:val="00A06315"/>
    <w:rsid w:val="00A135C4"/>
    <w:rsid w:val="00A15F48"/>
    <w:rsid w:val="00A165CA"/>
    <w:rsid w:val="00A16CD2"/>
    <w:rsid w:val="00A179C9"/>
    <w:rsid w:val="00A2298A"/>
    <w:rsid w:val="00A23112"/>
    <w:rsid w:val="00A24E5D"/>
    <w:rsid w:val="00A30926"/>
    <w:rsid w:val="00A31C76"/>
    <w:rsid w:val="00A3623B"/>
    <w:rsid w:val="00A363A7"/>
    <w:rsid w:val="00A36CE5"/>
    <w:rsid w:val="00A40E23"/>
    <w:rsid w:val="00A414F5"/>
    <w:rsid w:val="00A41F98"/>
    <w:rsid w:val="00A466B9"/>
    <w:rsid w:val="00A46E0F"/>
    <w:rsid w:val="00A47E53"/>
    <w:rsid w:val="00A5057C"/>
    <w:rsid w:val="00A51A77"/>
    <w:rsid w:val="00A55AA5"/>
    <w:rsid w:val="00A613D3"/>
    <w:rsid w:val="00A61FD0"/>
    <w:rsid w:val="00A62D92"/>
    <w:rsid w:val="00A650F4"/>
    <w:rsid w:val="00A71542"/>
    <w:rsid w:val="00A715B4"/>
    <w:rsid w:val="00A71CF1"/>
    <w:rsid w:val="00A72B3B"/>
    <w:rsid w:val="00A72C03"/>
    <w:rsid w:val="00A737AF"/>
    <w:rsid w:val="00A76EDB"/>
    <w:rsid w:val="00A77F8F"/>
    <w:rsid w:val="00A80814"/>
    <w:rsid w:val="00A820E0"/>
    <w:rsid w:val="00A828E5"/>
    <w:rsid w:val="00A83E8C"/>
    <w:rsid w:val="00A845EF"/>
    <w:rsid w:val="00A84D4E"/>
    <w:rsid w:val="00A86931"/>
    <w:rsid w:val="00A90FA1"/>
    <w:rsid w:val="00A9242B"/>
    <w:rsid w:val="00A930DF"/>
    <w:rsid w:val="00A9362A"/>
    <w:rsid w:val="00A93712"/>
    <w:rsid w:val="00A96317"/>
    <w:rsid w:val="00AA05B1"/>
    <w:rsid w:val="00AA20B5"/>
    <w:rsid w:val="00AA2512"/>
    <w:rsid w:val="00AA4713"/>
    <w:rsid w:val="00AA71F7"/>
    <w:rsid w:val="00AA7419"/>
    <w:rsid w:val="00AB07B7"/>
    <w:rsid w:val="00AB0A6B"/>
    <w:rsid w:val="00AB0BB7"/>
    <w:rsid w:val="00AB1E4D"/>
    <w:rsid w:val="00AB3121"/>
    <w:rsid w:val="00AB3792"/>
    <w:rsid w:val="00AB5B89"/>
    <w:rsid w:val="00AB797B"/>
    <w:rsid w:val="00AC1E2C"/>
    <w:rsid w:val="00AC52C7"/>
    <w:rsid w:val="00AC570F"/>
    <w:rsid w:val="00AC77B1"/>
    <w:rsid w:val="00AD3124"/>
    <w:rsid w:val="00AD3630"/>
    <w:rsid w:val="00AD3A5A"/>
    <w:rsid w:val="00AD3C25"/>
    <w:rsid w:val="00AD6E58"/>
    <w:rsid w:val="00AE0A28"/>
    <w:rsid w:val="00AE49D4"/>
    <w:rsid w:val="00AE540F"/>
    <w:rsid w:val="00AE6484"/>
    <w:rsid w:val="00AE6968"/>
    <w:rsid w:val="00AF022E"/>
    <w:rsid w:val="00AF09B0"/>
    <w:rsid w:val="00AF43BC"/>
    <w:rsid w:val="00AF53A7"/>
    <w:rsid w:val="00AF54ED"/>
    <w:rsid w:val="00AF55B9"/>
    <w:rsid w:val="00AF5C48"/>
    <w:rsid w:val="00AF65F4"/>
    <w:rsid w:val="00B00A16"/>
    <w:rsid w:val="00B03275"/>
    <w:rsid w:val="00B03545"/>
    <w:rsid w:val="00B04A54"/>
    <w:rsid w:val="00B04CBE"/>
    <w:rsid w:val="00B07B88"/>
    <w:rsid w:val="00B12748"/>
    <w:rsid w:val="00B14CC3"/>
    <w:rsid w:val="00B16A32"/>
    <w:rsid w:val="00B16C43"/>
    <w:rsid w:val="00B2009D"/>
    <w:rsid w:val="00B214B6"/>
    <w:rsid w:val="00B2209E"/>
    <w:rsid w:val="00B229DE"/>
    <w:rsid w:val="00B22D54"/>
    <w:rsid w:val="00B23BB3"/>
    <w:rsid w:val="00B23EF9"/>
    <w:rsid w:val="00B25288"/>
    <w:rsid w:val="00B25D8A"/>
    <w:rsid w:val="00B25E6A"/>
    <w:rsid w:val="00B322B8"/>
    <w:rsid w:val="00B33FAA"/>
    <w:rsid w:val="00B35561"/>
    <w:rsid w:val="00B3679B"/>
    <w:rsid w:val="00B37C6A"/>
    <w:rsid w:val="00B412C9"/>
    <w:rsid w:val="00B452AF"/>
    <w:rsid w:val="00B4786E"/>
    <w:rsid w:val="00B5054B"/>
    <w:rsid w:val="00B51BEA"/>
    <w:rsid w:val="00B5286A"/>
    <w:rsid w:val="00B541FC"/>
    <w:rsid w:val="00B54B06"/>
    <w:rsid w:val="00B55F22"/>
    <w:rsid w:val="00B604E9"/>
    <w:rsid w:val="00B62507"/>
    <w:rsid w:val="00B62607"/>
    <w:rsid w:val="00B6481E"/>
    <w:rsid w:val="00B665C6"/>
    <w:rsid w:val="00B73168"/>
    <w:rsid w:val="00B76200"/>
    <w:rsid w:val="00B766AC"/>
    <w:rsid w:val="00B82DDF"/>
    <w:rsid w:val="00B85675"/>
    <w:rsid w:val="00B8687B"/>
    <w:rsid w:val="00B86EC6"/>
    <w:rsid w:val="00B90675"/>
    <w:rsid w:val="00B95C50"/>
    <w:rsid w:val="00B97F02"/>
    <w:rsid w:val="00BA0296"/>
    <w:rsid w:val="00BA1D47"/>
    <w:rsid w:val="00BA2D8B"/>
    <w:rsid w:val="00BA4FAC"/>
    <w:rsid w:val="00BA5078"/>
    <w:rsid w:val="00BA5264"/>
    <w:rsid w:val="00BA583B"/>
    <w:rsid w:val="00BA6294"/>
    <w:rsid w:val="00BA67B9"/>
    <w:rsid w:val="00BA6C73"/>
    <w:rsid w:val="00BB081F"/>
    <w:rsid w:val="00BB3E50"/>
    <w:rsid w:val="00BB6660"/>
    <w:rsid w:val="00BB7087"/>
    <w:rsid w:val="00BC094F"/>
    <w:rsid w:val="00BC0D39"/>
    <w:rsid w:val="00BC460E"/>
    <w:rsid w:val="00BC4F92"/>
    <w:rsid w:val="00BC5F98"/>
    <w:rsid w:val="00BC5FB4"/>
    <w:rsid w:val="00BC63F6"/>
    <w:rsid w:val="00BC708E"/>
    <w:rsid w:val="00BC79E7"/>
    <w:rsid w:val="00BD1E2D"/>
    <w:rsid w:val="00BD3721"/>
    <w:rsid w:val="00BE0AE2"/>
    <w:rsid w:val="00BE1825"/>
    <w:rsid w:val="00BE32D8"/>
    <w:rsid w:val="00BE49A5"/>
    <w:rsid w:val="00BE642B"/>
    <w:rsid w:val="00BE6BB9"/>
    <w:rsid w:val="00BE7EEF"/>
    <w:rsid w:val="00BF2899"/>
    <w:rsid w:val="00BF4933"/>
    <w:rsid w:val="00BF4D62"/>
    <w:rsid w:val="00BF5375"/>
    <w:rsid w:val="00BF650E"/>
    <w:rsid w:val="00BF6E15"/>
    <w:rsid w:val="00BF6F52"/>
    <w:rsid w:val="00BF76E3"/>
    <w:rsid w:val="00BF786F"/>
    <w:rsid w:val="00BF7D83"/>
    <w:rsid w:val="00C0099B"/>
    <w:rsid w:val="00C02D8B"/>
    <w:rsid w:val="00C04BCD"/>
    <w:rsid w:val="00C04E54"/>
    <w:rsid w:val="00C06291"/>
    <w:rsid w:val="00C07DF5"/>
    <w:rsid w:val="00C1004A"/>
    <w:rsid w:val="00C1178D"/>
    <w:rsid w:val="00C11CE1"/>
    <w:rsid w:val="00C12E40"/>
    <w:rsid w:val="00C15783"/>
    <w:rsid w:val="00C15C78"/>
    <w:rsid w:val="00C2349D"/>
    <w:rsid w:val="00C26ABB"/>
    <w:rsid w:val="00C36BBA"/>
    <w:rsid w:val="00C3761C"/>
    <w:rsid w:val="00C418E7"/>
    <w:rsid w:val="00C44968"/>
    <w:rsid w:val="00C46497"/>
    <w:rsid w:val="00C500EF"/>
    <w:rsid w:val="00C50373"/>
    <w:rsid w:val="00C5069F"/>
    <w:rsid w:val="00C50FC5"/>
    <w:rsid w:val="00C539DA"/>
    <w:rsid w:val="00C541A0"/>
    <w:rsid w:val="00C55CAC"/>
    <w:rsid w:val="00C56A8D"/>
    <w:rsid w:val="00C62E9D"/>
    <w:rsid w:val="00C6461C"/>
    <w:rsid w:val="00C655B8"/>
    <w:rsid w:val="00C669A6"/>
    <w:rsid w:val="00C70540"/>
    <w:rsid w:val="00C749E4"/>
    <w:rsid w:val="00C7552E"/>
    <w:rsid w:val="00C77E2F"/>
    <w:rsid w:val="00C87988"/>
    <w:rsid w:val="00C911D8"/>
    <w:rsid w:val="00C91DAE"/>
    <w:rsid w:val="00C92A58"/>
    <w:rsid w:val="00C93549"/>
    <w:rsid w:val="00C938C2"/>
    <w:rsid w:val="00C93A1E"/>
    <w:rsid w:val="00C93CEA"/>
    <w:rsid w:val="00C9482E"/>
    <w:rsid w:val="00C95C20"/>
    <w:rsid w:val="00C96FDD"/>
    <w:rsid w:val="00CA0F0E"/>
    <w:rsid w:val="00CA23FA"/>
    <w:rsid w:val="00CA3125"/>
    <w:rsid w:val="00CA3A3D"/>
    <w:rsid w:val="00CA59D5"/>
    <w:rsid w:val="00CA663E"/>
    <w:rsid w:val="00CA7130"/>
    <w:rsid w:val="00CB2144"/>
    <w:rsid w:val="00CB3613"/>
    <w:rsid w:val="00CB728F"/>
    <w:rsid w:val="00CC1984"/>
    <w:rsid w:val="00CC1BBB"/>
    <w:rsid w:val="00CC4F91"/>
    <w:rsid w:val="00CC5BD3"/>
    <w:rsid w:val="00CC627C"/>
    <w:rsid w:val="00CD0241"/>
    <w:rsid w:val="00CD0600"/>
    <w:rsid w:val="00CD51D1"/>
    <w:rsid w:val="00CD5452"/>
    <w:rsid w:val="00CE01CD"/>
    <w:rsid w:val="00CE36C6"/>
    <w:rsid w:val="00CE42E0"/>
    <w:rsid w:val="00CE6446"/>
    <w:rsid w:val="00CF07DB"/>
    <w:rsid w:val="00CF2164"/>
    <w:rsid w:val="00CF2BE5"/>
    <w:rsid w:val="00CF4887"/>
    <w:rsid w:val="00CF4979"/>
    <w:rsid w:val="00CF6D33"/>
    <w:rsid w:val="00CF7C49"/>
    <w:rsid w:val="00D02196"/>
    <w:rsid w:val="00D0333C"/>
    <w:rsid w:val="00D1055E"/>
    <w:rsid w:val="00D11A79"/>
    <w:rsid w:val="00D11AA0"/>
    <w:rsid w:val="00D20419"/>
    <w:rsid w:val="00D2066F"/>
    <w:rsid w:val="00D23845"/>
    <w:rsid w:val="00D24994"/>
    <w:rsid w:val="00D24ECB"/>
    <w:rsid w:val="00D275E9"/>
    <w:rsid w:val="00D3000A"/>
    <w:rsid w:val="00D30AF4"/>
    <w:rsid w:val="00D30B0B"/>
    <w:rsid w:val="00D30BCE"/>
    <w:rsid w:val="00D34028"/>
    <w:rsid w:val="00D34E6F"/>
    <w:rsid w:val="00D36869"/>
    <w:rsid w:val="00D4033E"/>
    <w:rsid w:val="00D411C3"/>
    <w:rsid w:val="00D45BDF"/>
    <w:rsid w:val="00D5043B"/>
    <w:rsid w:val="00D52A10"/>
    <w:rsid w:val="00D535BD"/>
    <w:rsid w:val="00D578D1"/>
    <w:rsid w:val="00D602E0"/>
    <w:rsid w:val="00D633C4"/>
    <w:rsid w:val="00D63404"/>
    <w:rsid w:val="00D660FF"/>
    <w:rsid w:val="00D67DCB"/>
    <w:rsid w:val="00D72BD9"/>
    <w:rsid w:val="00D77779"/>
    <w:rsid w:val="00D779AB"/>
    <w:rsid w:val="00D81481"/>
    <w:rsid w:val="00D81C45"/>
    <w:rsid w:val="00D83917"/>
    <w:rsid w:val="00D87C98"/>
    <w:rsid w:val="00D91551"/>
    <w:rsid w:val="00D91F2F"/>
    <w:rsid w:val="00D92A71"/>
    <w:rsid w:val="00D92E31"/>
    <w:rsid w:val="00D95C5E"/>
    <w:rsid w:val="00D974DF"/>
    <w:rsid w:val="00D977F5"/>
    <w:rsid w:val="00D97A4B"/>
    <w:rsid w:val="00DA1602"/>
    <w:rsid w:val="00DA244B"/>
    <w:rsid w:val="00DA339C"/>
    <w:rsid w:val="00DA573F"/>
    <w:rsid w:val="00DA6C95"/>
    <w:rsid w:val="00DB07EB"/>
    <w:rsid w:val="00DB090B"/>
    <w:rsid w:val="00DB393F"/>
    <w:rsid w:val="00DB4041"/>
    <w:rsid w:val="00DC2E80"/>
    <w:rsid w:val="00DC48F5"/>
    <w:rsid w:val="00DC5C73"/>
    <w:rsid w:val="00DC76A1"/>
    <w:rsid w:val="00DD5437"/>
    <w:rsid w:val="00DD7C3A"/>
    <w:rsid w:val="00DE0A5D"/>
    <w:rsid w:val="00DE2C87"/>
    <w:rsid w:val="00DE31EA"/>
    <w:rsid w:val="00DF061E"/>
    <w:rsid w:val="00DF0D87"/>
    <w:rsid w:val="00DF16DA"/>
    <w:rsid w:val="00DF43A3"/>
    <w:rsid w:val="00DF4A16"/>
    <w:rsid w:val="00DF53EF"/>
    <w:rsid w:val="00DF5A89"/>
    <w:rsid w:val="00DF685B"/>
    <w:rsid w:val="00E011DA"/>
    <w:rsid w:val="00E03289"/>
    <w:rsid w:val="00E03798"/>
    <w:rsid w:val="00E038AB"/>
    <w:rsid w:val="00E05710"/>
    <w:rsid w:val="00E114C9"/>
    <w:rsid w:val="00E12647"/>
    <w:rsid w:val="00E1274C"/>
    <w:rsid w:val="00E12A76"/>
    <w:rsid w:val="00E12C38"/>
    <w:rsid w:val="00E140A3"/>
    <w:rsid w:val="00E206F6"/>
    <w:rsid w:val="00E210AF"/>
    <w:rsid w:val="00E26064"/>
    <w:rsid w:val="00E266E8"/>
    <w:rsid w:val="00E27106"/>
    <w:rsid w:val="00E30699"/>
    <w:rsid w:val="00E32CEA"/>
    <w:rsid w:val="00E33A27"/>
    <w:rsid w:val="00E35582"/>
    <w:rsid w:val="00E36633"/>
    <w:rsid w:val="00E373D4"/>
    <w:rsid w:val="00E41540"/>
    <w:rsid w:val="00E50FC5"/>
    <w:rsid w:val="00E52BB8"/>
    <w:rsid w:val="00E52EE3"/>
    <w:rsid w:val="00E54BF8"/>
    <w:rsid w:val="00E55878"/>
    <w:rsid w:val="00E55B0E"/>
    <w:rsid w:val="00E55F63"/>
    <w:rsid w:val="00E56403"/>
    <w:rsid w:val="00E62DBC"/>
    <w:rsid w:val="00E630D2"/>
    <w:rsid w:val="00E65C58"/>
    <w:rsid w:val="00E6661B"/>
    <w:rsid w:val="00E667B9"/>
    <w:rsid w:val="00E67D62"/>
    <w:rsid w:val="00E67EC6"/>
    <w:rsid w:val="00E67ECD"/>
    <w:rsid w:val="00E729DB"/>
    <w:rsid w:val="00E73248"/>
    <w:rsid w:val="00E73610"/>
    <w:rsid w:val="00E777B3"/>
    <w:rsid w:val="00E77D81"/>
    <w:rsid w:val="00E81033"/>
    <w:rsid w:val="00E810C3"/>
    <w:rsid w:val="00E848E7"/>
    <w:rsid w:val="00E84EC5"/>
    <w:rsid w:val="00E859C4"/>
    <w:rsid w:val="00E93577"/>
    <w:rsid w:val="00E94837"/>
    <w:rsid w:val="00E95C79"/>
    <w:rsid w:val="00E9650A"/>
    <w:rsid w:val="00E965BF"/>
    <w:rsid w:val="00E97B57"/>
    <w:rsid w:val="00EA1E6F"/>
    <w:rsid w:val="00EA3258"/>
    <w:rsid w:val="00EA444E"/>
    <w:rsid w:val="00EA490A"/>
    <w:rsid w:val="00EA6107"/>
    <w:rsid w:val="00EB1011"/>
    <w:rsid w:val="00EB1AF5"/>
    <w:rsid w:val="00EB2D35"/>
    <w:rsid w:val="00EB4CB2"/>
    <w:rsid w:val="00EB5E48"/>
    <w:rsid w:val="00EC1475"/>
    <w:rsid w:val="00ED1F14"/>
    <w:rsid w:val="00ED52C1"/>
    <w:rsid w:val="00EE05A2"/>
    <w:rsid w:val="00EE102F"/>
    <w:rsid w:val="00EE2F37"/>
    <w:rsid w:val="00EE3297"/>
    <w:rsid w:val="00EE35D5"/>
    <w:rsid w:val="00EE4FEC"/>
    <w:rsid w:val="00EE57BE"/>
    <w:rsid w:val="00EE6875"/>
    <w:rsid w:val="00EF0218"/>
    <w:rsid w:val="00EF06AA"/>
    <w:rsid w:val="00EF0D9C"/>
    <w:rsid w:val="00EF19A3"/>
    <w:rsid w:val="00EF1FC5"/>
    <w:rsid w:val="00EF22CD"/>
    <w:rsid w:val="00EF2D43"/>
    <w:rsid w:val="00EF4691"/>
    <w:rsid w:val="00EF676C"/>
    <w:rsid w:val="00EF6CF5"/>
    <w:rsid w:val="00F07CA5"/>
    <w:rsid w:val="00F14FCA"/>
    <w:rsid w:val="00F16538"/>
    <w:rsid w:val="00F1653A"/>
    <w:rsid w:val="00F168A7"/>
    <w:rsid w:val="00F16DE1"/>
    <w:rsid w:val="00F170F2"/>
    <w:rsid w:val="00F20CB6"/>
    <w:rsid w:val="00F2155C"/>
    <w:rsid w:val="00F220BE"/>
    <w:rsid w:val="00F232DC"/>
    <w:rsid w:val="00F23802"/>
    <w:rsid w:val="00F307C5"/>
    <w:rsid w:val="00F31D56"/>
    <w:rsid w:val="00F352CC"/>
    <w:rsid w:val="00F36B62"/>
    <w:rsid w:val="00F4009A"/>
    <w:rsid w:val="00F406DC"/>
    <w:rsid w:val="00F40A44"/>
    <w:rsid w:val="00F435F7"/>
    <w:rsid w:val="00F44025"/>
    <w:rsid w:val="00F460DA"/>
    <w:rsid w:val="00F46629"/>
    <w:rsid w:val="00F5091F"/>
    <w:rsid w:val="00F5403D"/>
    <w:rsid w:val="00F54041"/>
    <w:rsid w:val="00F57424"/>
    <w:rsid w:val="00F57718"/>
    <w:rsid w:val="00F57C81"/>
    <w:rsid w:val="00F609C5"/>
    <w:rsid w:val="00F6269E"/>
    <w:rsid w:val="00F6379D"/>
    <w:rsid w:val="00F65248"/>
    <w:rsid w:val="00F710DD"/>
    <w:rsid w:val="00F73136"/>
    <w:rsid w:val="00F7354A"/>
    <w:rsid w:val="00F756B5"/>
    <w:rsid w:val="00F75DA8"/>
    <w:rsid w:val="00F75F6B"/>
    <w:rsid w:val="00F76760"/>
    <w:rsid w:val="00F76E63"/>
    <w:rsid w:val="00F80340"/>
    <w:rsid w:val="00F80564"/>
    <w:rsid w:val="00F80FD5"/>
    <w:rsid w:val="00F81E38"/>
    <w:rsid w:val="00F81FFA"/>
    <w:rsid w:val="00F86A3D"/>
    <w:rsid w:val="00F86B0D"/>
    <w:rsid w:val="00F86C46"/>
    <w:rsid w:val="00F917C0"/>
    <w:rsid w:val="00F95BC8"/>
    <w:rsid w:val="00F963FF"/>
    <w:rsid w:val="00F9763B"/>
    <w:rsid w:val="00FA5C09"/>
    <w:rsid w:val="00FB4952"/>
    <w:rsid w:val="00FB57CC"/>
    <w:rsid w:val="00FB599C"/>
    <w:rsid w:val="00FB7C69"/>
    <w:rsid w:val="00FC12CC"/>
    <w:rsid w:val="00FC1C17"/>
    <w:rsid w:val="00FC37AC"/>
    <w:rsid w:val="00FC40F2"/>
    <w:rsid w:val="00FC423F"/>
    <w:rsid w:val="00FC5FAA"/>
    <w:rsid w:val="00FC6AD5"/>
    <w:rsid w:val="00FD187E"/>
    <w:rsid w:val="00FD18FB"/>
    <w:rsid w:val="00FD192E"/>
    <w:rsid w:val="00FD2708"/>
    <w:rsid w:val="00FD4B1D"/>
    <w:rsid w:val="00FD7CD0"/>
    <w:rsid w:val="00FE1A3A"/>
    <w:rsid w:val="00FE2706"/>
    <w:rsid w:val="00FE39F6"/>
    <w:rsid w:val="00FE7934"/>
    <w:rsid w:val="00FE7FE7"/>
    <w:rsid w:val="00FF2EA8"/>
    <w:rsid w:val="00FF37F6"/>
    <w:rsid w:val="00FF3CDB"/>
    <w:rsid w:val="00FF4ADD"/>
    <w:rsid w:val="0454024F"/>
    <w:rsid w:val="06AB431A"/>
    <w:rsid w:val="09CF6571"/>
    <w:rsid w:val="0BEA7692"/>
    <w:rsid w:val="0E4155E0"/>
    <w:rsid w:val="10141182"/>
    <w:rsid w:val="10817E99"/>
    <w:rsid w:val="14265D6B"/>
    <w:rsid w:val="14D07641"/>
    <w:rsid w:val="15846C6E"/>
    <w:rsid w:val="17C63220"/>
    <w:rsid w:val="1D9C335B"/>
    <w:rsid w:val="203B6A64"/>
    <w:rsid w:val="21BF4CC5"/>
    <w:rsid w:val="2AF41439"/>
    <w:rsid w:val="2B612949"/>
    <w:rsid w:val="2BA52A5C"/>
    <w:rsid w:val="2D8E69C3"/>
    <w:rsid w:val="2DEC6E42"/>
    <w:rsid w:val="2E3B3926"/>
    <w:rsid w:val="34F53693"/>
    <w:rsid w:val="352C3FC8"/>
    <w:rsid w:val="37C7128D"/>
    <w:rsid w:val="39673AEB"/>
    <w:rsid w:val="3A0652FC"/>
    <w:rsid w:val="3ABF7834"/>
    <w:rsid w:val="3E7CEEDA"/>
    <w:rsid w:val="3EFE2684"/>
    <w:rsid w:val="3F007831"/>
    <w:rsid w:val="3F1475D7"/>
    <w:rsid w:val="3FDFE394"/>
    <w:rsid w:val="43E60433"/>
    <w:rsid w:val="4710374A"/>
    <w:rsid w:val="47D31898"/>
    <w:rsid w:val="51D11623"/>
    <w:rsid w:val="53257944"/>
    <w:rsid w:val="55F12998"/>
    <w:rsid w:val="569A2C5F"/>
    <w:rsid w:val="57E43377"/>
    <w:rsid w:val="59B81161"/>
    <w:rsid w:val="5BB26726"/>
    <w:rsid w:val="5BF92789"/>
    <w:rsid w:val="5D647D73"/>
    <w:rsid w:val="5DCF0C0E"/>
    <w:rsid w:val="5FAB7BAA"/>
    <w:rsid w:val="5FDD7F8E"/>
    <w:rsid w:val="5FFFB6DE"/>
    <w:rsid w:val="628D57F7"/>
    <w:rsid w:val="636B3D8A"/>
    <w:rsid w:val="63F33A65"/>
    <w:rsid w:val="64CE1D4E"/>
    <w:rsid w:val="65515201"/>
    <w:rsid w:val="65AE63AC"/>
    <w:rsid w:val="677925B1"/>
    <w:rsid w:val="67BF2AF6"/>
    <w:rsid w:val="67E97973"/>
    <w:rsid w:val="68827D5E"/>
    <w:rsid w:val="6B36F750"/>
    <w:rsid w:val="6DD95D94"/>
    <w:rsid w:val="6DE81CEB"/>
    <w:rsid w:val="71C9CBD9"/>
    <w:rsid w:val="7505043A"/>
    <w:rsid w:val="77BA19F6"/>
    <w:rsid w:val="77F8012F"/>
    <w:rsid w:val="78AE31E0"/>
    <w:rsid w:val="78BE5E15"/>
    <w:rsid w:val="79FE5AF0"/>
    <w:rsid w:val="7A5E5F9F"/>
    <w:rsid w:val="7B7EB1A0"/>
    <w:rsid w:val="7B9FC166"/>
    <w:rsid w:val="7D7B8F0E"/>
    <w:rsid w:val="7EEE2D7B"/>
    <w:rsid w:val="7EF71BD9"/>
    <w:rsid w:val="7FB98217"/>
    <w:rsid w:val="8F6DBA10"/>
    <w:rsid w:val="9B0DCB79"/>
    <w:rsid w:val="9BDDEC44"/>
    <w:rsid w:val="9F3FDF33"/>
    <w:rsid w:val="CEFBD015"/>
    <w:rsid w:val="D753BAF6"/>
    <w:rsid w:val="D77FAAFA"/>
    <w:rsid w:val="DB9FF83C"/>
    <w:rsid w:val="DFF5B12A"/>
    <w:rsid w:val="DFFFF8C1"/>
    <w:rsid w:val="E45D9931"/>
    <w:rsid w:val="E6375234"/>
    <w:rsid w:val="E7FFDEEF"/>
    <w:rsid w:val="EBBB793B"/>
    <w:rsid w:val="EBEF5DD1"/>
    <w:rsid w:val="EBF52A68"/>
    <w:rsid w:val="F1FFA648"/>
    <w:rsid w:val="F27FD3C3"/>
    <w:rsid w:val="F3925C52"/>
    <w:rsid w:val="F7DB0EC3"/>
    <w:rsid w:val="F7DD9CE4"/>
    <w:rsid w:val="FDF1AA29"/>
    <w:rsid w:val="FFDFC891"/>
    <w:rsid w:val="FFE9F96A"/>
    <w:rsid w:val="FFFD20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4"/>
    <w:next w:val="1"/>
    <w:link w:val="54"/>
    <w:qFormat/>
    <w:uiPriority w:val="9"/>
    <w:pPr>
      <w:spacing w:before="340" w:after="330" w:line="360" w:lineRule="auto"/>
      <w:jc w:val="center"/>
      <w:outlineLvl w:val="0"/>
    </w:pPr>
    <w:rPr>
      <w:rFonts w:eastAsia="黑体"/>
      <w:kern w:val="44"/>
      <w:szCs w:val="44"/>
    </w:rPr>
  </w:style>
  <w:style w:type="paragraph" w:styleId="6">
    <w:name w:val="heading 2"/>
    <w:basedOn w:val="1"/>
    <w:next w:val="1"/>
    <w:link w:val="55"/>
    <w:qFormat/>
    <w:uiPriority w:val="0"/>
    <w:pPr>
      <w:adjustRightInd w:val="0"/>
      <w:jc w:val="center"/>
      <w:textAlignment w:val="baseline"/>
      <w:outlineLvl w:val="1"/>
    </w:pPr>
    <w:rPr>
      <w:sz w:val="24"/>
      <w:szCs w:val="20"/>
    </w:rPr>
  </w:style>
  <w:style w:type="paragraph" w:styleId="4">
    <w:name w:val="heading 3"/>
    <w:basedOn w:val="5"/>
    <w:next w:val="1"/>
    <w:link w:val="63"/>
    <w:qFormat/>
    <w:uiPriority w:val="9"/>
    <w:pPr>
      <w:spacing w:before="260" w:after="260" w:line="240" w:lineRule="auto"/>
      <w:outlineLvl w:val="2"/>
    </w:pPr>
    <w:rPr>
      <w:rFonts w:ascii="宋体" w:hAnsi="宋体" w:eastAsia="宋体"/>
      <w:szCs w:val="32"/>
    </w:rPr>
  </w:style>
  <w:style w:type="paragraph" w:styleId="5">
    <w:name w:val="heading 4"/>
    <w:basedOn w:val="1"/>
    <w:next w:val="1"/>
    <w:link w:val="57"/>
    <w:qFormat/>
    <w:uiPriority w:val="0"/>
    <w:pPr>
      <w:keepNext/>
      <w:keepLines/>
      <w:spacing w:before="280" w:after="290" w:line="376" w:lineRule="auto"/>
      <w:outlineLvl w:val="3"/>
    </w:pPr>
    <w:rPr>
      <w:rFonts w:ascii="Arial" w:hAnsi="Arial" w:eastAsia="黑体"/>
      <w:b/>
      <w:bCs/>
      <w:kern w:val="0"/>
      <w:sz w:val="28"/>
      <w:szCs w:val="28"/>
    </w:rPr>
  </w:style>
  <w:style w:type="paragraph" w:styleId="7">
    <w:name w:val="heading 5"/>
    <w:basedOn w:val="1"/>
    <w:next w:val="8"/>
    <w:link w:val="58"/>
    <w:qFormat/>
    <w:uiPriority w:val="0"/>
    <w:pPr>
      <w:keepNext/>
      <w:keepLines/>
      <w:spacing w:before="280" w:after="290" w:line="376" w:lineRule="auto"/>
      <w:outlineLvl w:val="4"/>
    </w:pPr>
    <w:rPr>
      <w:rFonts w:ascii="Times New Roman" w:hAnsi="Times New Roman"/>
      <w:b/>
      <w:kern w:val="0"/>
      <w:sz w:val="28"/>
      <w:szCs w:val="20"/>
    </w:rPr>
  </w:style>
  <w:style w:type="paragraph" w:styleId="9">
    <w:name w:val="heading 6"/>
    <w:basedOn w:val="1"/>
    <w:next w:val="8"/>
    <w:link w:val="59"/>
    <w:qFormat/>
    <w:uiPriority w:val="0"/>
    <w:pPr>
      <w:keepNext/>
      <w:keepLines/>
      <w:spacing w:before="240" w:after="64" w:line="320" w:lineRule="auto"/>
      <w:outlineLvl w:val="5"/>
    </w:pPr>
    <w:rPr>
      <w:rFonts w:ascii="Arial" w:hAnsi="Arial" w:eastAsia="黑体"/>
      <w:b/>
      <w:kern w:val="0"/>
      <w:sz w:val="24"/>
      <w:szCs w:val="20"/>
    </w:rPr>
  </w:style>
  <w:style w:type="paragraph" w:styleId="10">
    <w:name w:val="heading 7"/>
    <w:basedOn w:val="1"/>
    <w:next w:val="8"/>
    <w:link w:val="60"/>
    <w:qFormat/>
    <w:uiPriority w:val="0"/>
    <w:pPr>
      <w:keepNext/>
      <w:keepLines/>
      <w:spacing w:before="240" w:after="64" w:line="320" w:lineRule="auto"/>
      <w:outlineLvl w:val="6"/>
    </w:pPr>
    <w:rPr>
      <w:rFonts w:ascii="Times New Roman" w:hAnsi="Times New Roman"/>
      <w:b/>
      <w:kern w:val="0"/>
      <w:sz w:val="24"/>
      <w:szCs w:val="20"/>
    </w:rPr>
  </w:style>
  <w:style w:type="paragraph" w:styleId="11">
    <w:name w:val="heading 8"/>
    <w:basedOn w:val="1"/>
    <w:next w:val="8"/>
    <w:link w:val="61"/>
    <w:qFormat/>
    <w:uiPriority w:val="0"/>
    <w:pPr>
      <w:keepNext/>
      <w:keepLines/>
      <w:spacing w:before="240" w:after="64" w:line="320" w:lineRule="auto"/>
      <w:outlineLvl w:val="7"/>
    </w:pPr>
    <w:rPr>
      <w:rFonts w:ascii="Arial" w:hAnsi="Arial" w:eastAsia="黑体"/>
      <w:kern w:val="0"/>
      <w:sz w:val="24"/>
      <w:szCs w:val="20"/>
    </w:rPr>
  </w:style>
  <w:style w:type="paragraph" w:styleId="12">
    <w:name w:val="heading 9"/>
    <w:basedOn w:val="1"/>
    <w:next w:val="8"/>
    <w:link w:val="62"/>
    <w:qFormat/>
    <w:uiPriority w:val="0"/>
    <w:pPr>
      <w:keepNext/>
      <w:keepLines/>
      <w:spacing w:before="240" w:after="64" w:line="320" w:lineRule="auto"/>
      <w:outlineLvl w:val="8"/>
    </w:pPr>
    <w:rPr>
      <w:rFonts w:ascii="Arial" w:hAnsi="Arial" w:eastAsia="黑体"/>
      <w:kern w:val="0"/>
      <w:sz w:val="20"/>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0"/>
    <w:pPr>
      <w:tabs>
        <w:tab w:val="right" w:leader="dot" w:pos="8296"/>
      </w:tabs>
      <w:ind w:left="210"/>
      <w:jc w:val="left"/>
    </w:pPr>
    <w:rPr>
      <w:rFonts w:ascii="Times New Roman" w:hAnsi="Times New Roman"/>
      <w:smallCaps/>
      <w:szCs w:val="24"/>
    </w:rPr>
  </w:style>
  <w:style w:type="paragraph" w:styleId="8">
    <w:name w:val="Normal Indent"/>
    <w:basedOn w:val="1"/>
    <w:link w:val="75"/>
    <w:qFormat/>
    <w:uiPriority w:val="0"/>
    <w:pPr>
      <w:ind w:firstLine="420"/>
    </w:pPr>
    <w:rPr>
      <w:rFonts w:ascii="Times New Roman" w:hAnsi="Times New Roman"/>
      <w:kern w:val="0"/>
      <w:sz w:val="20"/>
      <w:szCs w:val="20"/>
    </w:rPr>
  </w:style>
  <w:style w:type="paragraph" w:styleId="13">
    <w:name w:val="toc 7"/>
    <w:basedOn w:val="1"/>
    <w:next w:val="1"/>
    <w:semiHidden/>
    <w:qFormat/>
    <w:uiPriority w:val="0"/>
    <w:pPr>
      <w:ind w:left="1260"/>
      <w:jc w:val="left"/>
    </w:pPr>
    <w:rPr>
      <w:rFonts w:ascii="Times New Roman" w:hAnsi="Times New Roman"/>
      <w:szCs w:val="21"/>
    </w:rPr>
  </w:style>
  <w:style w:type="paragraph" w:styleId="14">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5">
    <w:name w:val="List Bullet"/>
    <w:basedOn w:val="1"/>
    <w:qFormat/>
    <w:uiPriority w:val="0"/>
    <w:pPr>
      <w:tabs>
        <w:tab w:val="left" w:pos="360"/>
      </w:tabs>
      <w:ind w:left="360" w:hanging="360"/>
    </w:pPr>
    <w:rPr>
      <w:rFonts w:ascii="Times New Roman" w:hAnsi="Times New Roman"/>
      <w:szCs w:val="20"/>
    </w:rPr>
  </w:style>
  <w:style w:type="paragraph" w:styleId="16">
    <w:name w:val="Document Map"/>
    <w:basedOn w:val="1"/>
    <w:link w:val="115"/>
    <w:semiHidden/>
    <w:qFormat/>
    <w:uiPriority w:val="0"/>
    <w:pPr>
      <w:shd w:val="clear" w:color="auto" w:fill="000080"/>
    </w:pPr>
    <w:rPr>
      <w:rFonts w:ascii="Times New Roman" w:hAnsi="Times New Roman"/>
      <w:kern w:val="0"/>
      <w:sz w:val="20"/>
      <w:szCs w:val="24"/>
    </w:rPr>
  </w:style>
  <w:style w:type="paragraph" w:styleId="17">
    <w:name w:val="annotation text"/>
    <w:basedOn w:val="1"/>
    <w:link w:val="119"/>
    <w:qFormat/>
    <w:uiPriority w:val="0"/>
    <w:pPr>
      <w:autoSpaceDE w:val="0"/>
      <w:autoSpaceDN w:val="0"/>
      <w:adjustRightInd w:val="0"/>
      <w:jc w:val="left"/>
      <w:textAlignment w:val="baseline"/>
    </w:pPr>
    <w:rPr>
      <w:rFonts w:ascii="宋体" w:hAnsi="Times New Roman"/>
      <w:kern w:val="0"/>
      <w:sz w:val="34"/>
      <w:szCs w:val="20"/>
    </w:rPr>
  </w:style>
  <w:style w:type="paragraph" w:styleId="18">
    <w:name w:val="Body Text 3"/>
    <w:basedOn w:val="1"/>
    <w:link w:val="113"/>
    <w:qFormat/>
    <w:uiPriority w:val="0"/>
    <w:pPr>
      <w:spacing w:after="120"/>
    </w:pPr>
    <w:rPr>
      <w:rFonts w:ascii="Times New Roman" w:hAnsi="Times New Roman"/>
      <w:kern w:val="0"/>
      <w:sz w:val="16"/>
      <w:szCs w:val="16"/>
    </w:rPr>
  </w:style>
  <w:style w:type="paragraph" w:styleId="19">
    <w:name w:val="Body Text"/>
    <w:basedOn w:val="1"/>
    <w:next w:val="1"/>
    <w:link w:val="117"/>
    <w:qFormat/>
    <w:uiPriority w:val="0"/>
    <w:pPr>
      <w:spacing w:line="360" w:lineRule="auto"/>
    </w:pPr>
    <w:rPr>
      <w:rFonts w:ascii="Times New Roman" w:hAnsi="Times New Roman"/>
      <w:b/>
      <w:bCs/>
      <w:kern w:val="0"/>
      <w:sz w:val="24"/>
      <w:szCs w:val="24"/>
    </w:rPr>
  </w:style>
  <w:style w:type="paragraph" w:styleId="20">
    <w:name w:val="Body Text Indent"/>
    <w:basedOn w:val="1"/>
    <w:link w:val="118"/>
    <w:qFormat/>
    <w:uiPriority w:val="0"/>
    <w:pPr>
      <w:spacing w:line="360" w:lineRule="auto"/>
      <w:ind w:firstLine="420" w:firstLineChars="200"/>
    </w:pPr>
    <w:rPr>
      <w:rFonts w:ascii="Times New Roman" w:hAnsi="Times New Roman"/>
      <w:kern w:val="0"/>
      <w:sz w:val="20"/>
      <w:szCs w:val="24"/>
    </w:rPr>
  </w:style>
  <w:style w:type="paragraph" w:styleId="21">
    <w:name w:val="toc 5"/>
    <w:basedOn w:val="1"/>
    <w:next w:val="1"/>
    <w:semiHidden/>
    <w:qFormat/>
    <w:uiPriority w:val="0"/>
    <w:pPr>
      <w:ind w:left="840"/>
      <w:jc w:val="left"/>
    </w:pPr>
    <w:rPr>
      <w:rFonts w:ascii="Times New Roman" w:hAnsi="Times New Roman"/>
      <w:szCs w:val="21"/>
    </w:rPr>
  </w:style>
  <w:style w:type="paragraph" w:styleId="22">
    <w:name w:val="toc 3"/>
    <w:basedOn w:val="1"/>
    <w:next w:val="1"/>
    <w:semiHidden/>
    <w:qFormat/>
    <w:uiPriority w:val="0"/>
    <w:pPr>
      <w:ind w:left="420"/>
      <w:jc w:val="left"/>
    </w:pPr>
    <w:rPr>
      <w:rFonts w:ascii="Times New Roman" w:hAnsi="Times New Roman"/>
      <w:i/>
      <w:iCs/>
      <w:szCs w:val="24"/>
    </w:rPr>
  </w:style>
  <w:style w:type="paragraph" w:styleId="23">
    <w:name w:val="Plain Text"/>
    <w:basedOn w:val="1"/>
    <w:link w:val="114"/>
    <w:qFormat/>
    <w:uiPriority w:val="0"/>
    <w:rPr>
      <w:rFonts w:ascii="宋体" w:hAnsi="Courier New"/>
      <w:kern w:val="0"/>
      <w:sz w:val="20"/>
      <w:szCs w:val="20"/>
    </w:rPr>
  </w:style>
  <w:style w:type="paragraph" w:styleId="24">
    <w:name w:val="toc 8"/>
    <w:basedOn w:val="1"/>
    <w:next w:val="1"/>
    <w:semiHidden/>
    <w:qFormat/>
    <w:uiPriority w:val="0"/>
    <w:pPr>
      <w:ind w:left="1470"/>
      <w:jc w:val="left"/>
    </w:pPr>
    <w:rPr>
      <w:rFonts w:ascii="Times New Roman" w:hAnsi="Times New Roman"/>
      <w:szCs w:val="21"/>
    </w:rPr>
  </w:style>
  <w:style w:type="paragraph" w:styleId="25">
    <w:name w:val="Date"/>
    <w:basedOn w:val="1"/>
    <w:next w:val="1"/>
    <w:link w:val="116"/>
    <w:qFormat/>
    <w:uiPriority w:val="0"/>
    <w:rPr>
      <w:rFonts w:ascii="宋体" w:hAnsi="Courier New"/>
      <w:kern w:val="0"/>
      <w:sz w:val="32"/>
      <w:szCs w:val="20"/>
    </w:rPr>
  </w:style>
  <w:style w:type="paragraph" w:styleId="26">
    <w:name w:val="Body Text Indent 2"/>
    <w:basedOn w:val="1"/>
    <w:link w:val="121"/>
    <w:qFormat/>
    <w:uiPriority w:val="0"/>
    <w:pPr>
      <w:spacing w:beforeLines="50" w:afterLines="50" w:line="120" w:lineRule="auto"/>
      <w:ind w:firstLine="840" w:firstLineChars="400"/>
      <w:jc w:val="left"/>
    </w:pPr>
    <w:rPr>
      <w:rFonts w:ascii="宋体" w:hAnsi="宋体"/>
      <w:kern w:val="0"/>
      <w:sz w:val="20"/>
      <w:szCs w:val="24"/>
    </w:rPr>
  </w:style>
  <w:style w:type="paragraph" w:styleId="27">
    <w:name w:val="Balloon Text"/>
    <w:basedOn w:val="1"/>
    <w:link w:val="123"/>
    <w:qFormat/>
    <w:uiPriority w:val="99"/>
    <w:rPr>
      <w:rFonts w:ascii="Times New Roman" w:hAnsi="Times New Roman"/>
      <w:kern w:val="0"/>
      <w:sz w:val="18"/>
      <w:szCs w:val="18"/>
    </w:rPr>
  </w:style>
  <w:style w:type="paragraph" w:styleId="28">
    <w:name w:val="footer"/>
    <w:basedOn w:val="1"/>
    <w:link w:val="53"/>
    <w:unhideWhenUsed/>
    <w:qFormat/>
    <w:uiPriority w:val="99"/>
    <w:pPr>
      <w:tabs>
        <w:tab w:val="center" w:pos="4153"/>
        <w:tab w:val="right" w:pos="8306"/>
      </w:tabs>
      <w:snapToGrid w:val="0"/>
      <w:jc w:val="left"/>
    </w:pPr>
    <w:rPr>
      <w:sz w:val="18"/>
      <w:szCs w:val="18"/>
    </w:rPr>
  </w:style>
  <w:style w:type="paragraph" w:styleId="29">
    <w:name w:val="header"/>
    <w:basedOn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rFonts w:ascii="Times New Roman" w:hAnsi="Times New Roman"/>
      <w:b/>
      <w:bCs/>
      <w:caps/>
      <w:szCs w:val="24"/>
    </w:rPr>
  </w:style>
  <w:style w:type="paragraph" w:styleId="31">
    <w:name w:val="toc 4"/>
    <w:basedOn w:val="1"/>
    <w:next w:val="1"/>
    <w:semiHidden/>
    <w:qFormat/>
    <w:uiPriority w:val="0"/>
    <w:pPr>
      <w:ind w:left="630"/>
      <w:jc w:val="left"/>
    </w:pPr>
    <w:rPr>
      <w:rFonts w:ascii="Times New Roman" w:hAnsi="Times New Roman"/>
      <w:szCs w:val="21"/>
    </w:rPr>
  </w:style>
  <w:style w:type="paragraph" w:styleId="32">
    <w:name w:val="toc 6"/>
    <w:basedOn w:val="1"/>
    <w:next w:val="1"/>
    <w:semiHidden/>
    <w:qFormat/>
    <w:uiPriority w:val="0"/>
    <w:pPr>
      <w:ind w:left="1050"/>
      <w:jc w:val="left"/>
    </w:pPr>
    <w:rPr>
      <w:rFonts w:ascii="Times New Roman" w:hAnsi="Times New Roman"/>
      <w:szCs w:val="21"/>
    </w:rPr>
  </w:style>
  <w:style w:type="paragraph" w:styleId="33">
    <w:name w:val="Body Text Indent 3"/>
    <w:basedOn w:val="1"/>
    <w:link w:val="124"/>
    <w:qFormat/>
    <w:uiPriority w:val="0"/>
    <w:pPr>
      <w:spacing w:line="360" w:lineRule="auto"/>
      <w:ind w:firstLine="482" w:firstLineChars="200"/>
    </w:pPr>
    <w:rPr>
      <w:rFonts w:ascii="宋体" w:hAnsi="Times New Roman"/>
      <w:b/>
      <w:bCs/>
      <w:kern w:val="0"/>
      <w:sz w:val="24"/>
      <w:szCs w:val="24"/>
    </w:rPr>
  </w:style>
  <w:style w:type="paragraph" w:styleId="34">
    <w:name w:val="toc 9"/>
    <w:basedOn w:val="1"/>
    <w:next w:val="1"/>
    <w:semiHidden/>
    <w:qFormat/>
    <w:uiPriority w:val="0"/>
    <w:pPr>
      <w:ind w:left="1680"/>
      <w:jc w:val="left"/>
    </w:pPr>
    <w:rPr>
      <w:rFonts w:ascii="Times New Roman" w:hAnsi="Times New Roman"/>
      <w:szCs w:val="21"/>
    </w:rPr>
  </w:style>
  <w:style w:type="paragraph" w:styleId="35">
    <w:name w:val="Body Text 2"/>
    <w:basedOn w:val="1"/>
    <w:link w:val="122"/>
    <w:qFormat/>
    <w:uiPriority w:val="0"/>
    <w:pPr>
      <w:spacing w:line="360" w:lineRule="auto"/>
    </w:pPr>
    <w:rPr>
      <w:rFonts w:ascii="Times New Roman" w:hAnsi="Times New Roman"/>
      <w:kern w:val="0"/>
      <w:sz w:val="24"/>
      <w:szCs w:val="24"/>
    </w:rPr>
  </w:style>
  <w:style w:type="paragraph" w:styleId="36">
    <w:name w:val="HTML Preformatted"/>
    <w:basedOn w:val="1"/>
    <w:link w:val="12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38">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szCs w:val="24"/>
    </w:rPr>
  </w:style>
  <w:style w:type="paragraph" w:styleId="39">
    <w:name w:val="Title"/>
    <w:basedOn w:val="1"/>
    <w:link w:val="125"/>
    <w:qFormat/>
    <w:uiPriority w:val="0"/>
    <w:pPr>
      <w:spacing w:before="240" w:after="60"/>
      <w:jc w:val="center"/>
      <w:outlineLvl w:val="0"/>
    </w:pPr>
    <w:rPr>
      <w:rFonts w:ascii="Arial" w:hAnsi="Arial" w:eastAsia="隶书"/>
      <w:b/>
      <w:bCs/>
      <w:kern w:val="0"/>
      <w:sz w:val="32"/>
      <w:szCs w:val="32"/>
    </w:rPr>
  </w:style>
  <w:style w:type="paragraph" w:styleId="40">
    <w:name w:val="annotation subject"/>
    <w:basedOn w:val="17"/>
    <w:next w:val="17"/>
    <w:link w:val="126"/>
    <w:qFormat/>
    <w:uiPriority w:val="99"/>
    <w:pPr>
      <w:autoSpaceDE/>
      <w:autoSpaceDN/>
      <w:adjustRightInd/>
      <w:textAlignment w:val="auto"/>
    </w:pPr>
    <w:rPr>
      <w:rFonts w:ascii="Times New Roman"/>
      <w:b/>
      <w:bCs/>
      <w:szCs w:val="24"/>
    </w:rPr>
  </w:style>
  <w:style w:type="paragraph" w:styleId="41">
    <w:name w:val="Body Text First Indent"/>
    <w:basedOn w:val="19"/>
    <w:link w:val="127"/>
    <w:qFormat/>
    <w:uiPriority w:val="0"/>
    <w:pPr>
      <w:spacing w:after="120" w:line="240" w:lineRule="auto"/>
      <w:ind w:firstLine="420" w:firstLineChars="100"/>
    </w:pPr>
    <w:rPr>
      <w:sz w:val="20"/>
    </w:rPr>
  </w:style>
  <w:style w:type="table" w:styleId="43">
    <w:name w:val="Table Grid"/>
    <w:basedOn w:val="4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22"/>
    <w:rPr>
      <w:b/>
      <w:bCs/>
    </w:rPr>
  </w:style>
  <w:style w:type="character" w:styleId="46">
    <w:name w:val="page number"/>
    <w:basedOn w:val="44"/>
    <w:qFormat/>
    <w:uiPriority w:val="0"/>
  </w:style>
  <w:style w:type="character" w:styleId="47">
    <w:name w:val="FollowedHyperlink"/>
    <w:basedOn w:val="44"/>
    <w:unhideWhenUsed/>
    <w:qFormat/>
    <w:uiPriority w:val="99"/>
    <w:rPr>
      <w:color w:val="800080"/>
      <w:u w:val="single"/>
    </w:rPr>
  </w:style>
  <w:style w:type="character" w:styleId="48">
    <w:name w:val="Hyperlink"/>
    <w:qFormat/>
    <w:uiPriority w:val="0"/>
    <w:rPr>
      <w:color w:val="0000FF"/>
      <w:u w:val="single"/>
    </w:rPr>
  </w:style>
  <w:style w:type="character" w:styleId="49">
    <w:name w:val="annotation reference"/>
    <w:qFormat/>
    <w:uiPriority w:val="0"/>
    <w:rPr>
      <w:sz w:val="21"/>
      <w:szCs w:val="21"/>
    </w:rPr>
  </w:style>
  <w:style w:type="paragraph" w:customStyle="1" w:styleId="50">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51">
    <w:name w:val="表格文字"/>
    <w:basedOn w:val="1"/>
    <w:qFormat/>
    <w:uiPriority w:val="99"/>
    <w:pPr>
      <w:spacing w:before="25" w:after="25"/>
    </w:pPr>
    <w:rPr>
      <w:spacing w:val="10"/>
      <w:sz w:val="24"/>
    </w:rPr>
  </w:style>
  <w:style w:type="character" w:customStyle="1" w:styleId="52">
    <w:name w:val="页眉 Char"/>
    <w:basedOn w:val="44"/>
    <w:link w:val="29"/>
    <w:qFormat/>
    <w:uiPriority w:val="99"/>
    <w:rPr>
      <w:sz w:val="18"/>
      <w:szCs w:val="18"/>
    </w:rPr>
  </w:style>
  <w:style w:type="character" w:customStyle="1" w:styleId="53">
    <w:name w:val="页脚 Char"/>
    <w:basedOn w:val="44"/>
    <w:link w:val="28"/>
    <w:qFormat/>
    <w:uiPriority w:val="99"/>
    <w:rPr>
      <w:sz w:val="18"/>
      <w:szCs w:val="18"/>
    </w:rPr>
  </w:style>
  <w:style w:type="character" w:customStyle="1" w:styleId="54">
    <w:name w:val="标题 1 Char"/>
    <w:basedOn w:val="44"/>
    <w:link w:val="3"/>
    <w:qFormat/>
    <w:uiPriority w:val="9"/>
    <w:rPr>
      <w:rFonts w:ascii="宋体" w:hAnsi="宋体" w:eastAsia="黑体" w:cs="Times New Roman"/>
      <w:b/>
      <w:bCs/>
      <w:kern w:val="44"/>
      <w:sz w:val="28"/>
      <w:szCs w:val="44"/>
    </w:rPr>
  </w:style>
  <w:style w:type="character" w:customStyle="1" w:styleId="55">
    <w:name w:val="标题 2 Char"/>
    <w:basedOn w:val="44"/>
    <w:link w:val="6"/>
    <w:qFormat/>
    <w:uiPriority w:val="0"/>
    <w:rPr>
      <w:rFonts w:ascii="宋体" w:hAnsi="宋体" w:eastAsia="宋体" w:cs="Times New Roman"/>
      <w:b/>
      <w:bCs/>
      <w:kern w:val="0"/>
      <w:sz w:val="24"/>
      <w:szCs w:val="20"/>
    </w:rPr>
  </w:style>
  <w:style w:type="character" w:customStyle="1" w:styleId="56">
    <w:name w:val="标题 3 Char"/>
    <w:basedOn w:val="44"/>
    <w:link w:val="4"/>
    <w:qFormat/>
    <w:uiPriority w:val="9"/>
    <w:rPr>
      <w:rFonts w:ascii="Calibri" w:hAnsi="Calibri" w:eastAsia="宋体" w:cs="Times New Roman"/>
      <w:b/>
      <w:bCs/>
      <w:sz w:val="32"/>
      <w:szCs w:val="32"/>
    </w:rPr>
  </w:style>
  <w:style w:type="character" w:customStyle="1" w:styleId="57">
    <w:name w:val="标题 4 Char"/>
    <w:basedOn w:val="44"/>
    <w:link w:val="5"/>
    <w:qFormat/>
    <w:uiPriority w:val="0"/>
    <w:rPr>
      <w:rFonts w:ascii="Arial" w:hAnsi="Arial" w:eastAsia="黑体" w:cs="Times New Roman"/>
      <w:b/>
      <w:bCs/>
      <w:kern w:val="0"/>
      <w:sz w:val="28"/>
      <w:szCs w:val="28"/>
    </w:rPr>
  </w:style>
  <w:style w:type="character" w:customStyle="1" w:styleId="58">
    <w:name w:val="标题 5 Char"/>
    <w:basedOn w:val="44"/>
    <w:link w:val="7"/>
    <w:qFormat/>
    <w:uiPriority w:val="0"/>
    <w:rPr>
      <w:rFonts w:ascii="Times New Roman" w:hAnsi="Times New Roman" w:eastAsia="宋体" w:cs="Times New Roman"/>
      <w:b/>
      <w:kern w:val="0"/>
      <w:sz w:val="28"/>
      <w:szCs w:val="20"/>
    </w:rPr>
  </w:style>
  <w:style w:type="character" w:customStyle="1" w:styleId="59">
    <w:name w:val="标题 6 Char"/>
    <w:basedOn w:val="44"/>
    <w:link w:val="9"/>
    <w:qFormat/>
    <w:uiPriority w:val="0"/>
    <w:rPr>
      <w:rFonts w:ascii="Arial" w:hAnsi="Arial" w:eastAsia="黑体" w:cs="Times New Roman"/>
      <w:b/>
      <w:kern w:val="0"/>
      <w:sz w:val="24"/>
      <w:szCs w:val="20"/>
    </w:rPr>
  </w:style>
  <w:style w:type="character" w:customStyle="1" w:styleId="60">
    <w:name w:val="标题 7 Char"/>
    <w:basedOn w:val="44"/>
    <w:link w:val="10"/>
    <w:qFormat/>
    <w:uiPriority w:val="0"/>
    <w:rPr>
      <w:rFonts w:ascii="Times New Roman" w:hAnsi="Times New Roman" w:eastAsia="宋体" w:cs="Times New Roman"/>
      <w:b/>
      <w:kern w:val="0"/>
      <w:sz w:val="24"/>
      <w:szCs w:val="20"/>
    </w:rPr>
  </w:style>
  <w:style w:type="character" w:customStyle="1" w:styleId="61">
    <w:name w:val="标题 8 Char"/>
    <w:basedOn w:val="44"/>
    <w:link w:val="11"/>
    <w:qFormat/>
    <w:uiPriority w:val="0"/>
    <w:rPr>
      <w:rFonts w:ascii="Arial" w:hAnsi="Arial" w:eastAsia="黑体" w:cs="Times New Roman"/>
      <w:kern w:val="0"/>
      <w:sz w:val="24"/>
      <w:szCs w:val="20"/>
    </w:rPr>
  </w:style>
  <w:style w:type="character" w:customStyle="1" w:styleId="62">
    <w:name w:val="标题 9 Char"/>
    <w:basedOn w:val="44"/>
    <w:link w:val="12"/>
    <w:qFormat/>
    <w:uiPriority w:val="0"/>
    <w:rPr>
      <w:rFonts w:ascii="Arial" w:hAnsi="Arial" w:eastAsia="黑体" w:cs="Times New Roman"/>
      <w:kern w:val="0"/>
      <w:sz w:val="20"/>
      <w:szCs w:val="20"/>
    </w:rPr>
  </w:style>
  <w:style w:type="character" w:customStyle="1" w:styleId="63">
    <w:name w:val="标题 3 Char1"/>
    <w:link w:val="4"/>
    <w:qFormat/>
    <w:uiPriority w:val="0"/>
    <w:rPr>
      <w:rFonts w:ascii="宋体" w:hAnsi="宋体" w:eastAsia="宋体" w:cs="Times New Roman"/>
      <w:b/>
      <w:bCs/>
      <w:kern w:val="0"/>
      <w:sz w:val="28"/>
      <w:szCs w:val="32"/>
    </w:rPr>
  </w:style>
  <w:style w:type="character" w:customStyle="1" w:styleId="64">
    <w:name w:val="--规划正文 Char Char"/>
    <w:qFormat/>
    <w:uiPriority w:val="0"/>
    <w:rPr>
      <w:rFonts w:eastAsia="宋体"/>
      <w:kern w:val="2"/>
      <w:sz w:val="24"/>
      <w:szCs w:val="24"/>
      <w:lang w:val="en-US" w:eastAsia="zh-CN" w:bidi="ar-SA"/>
    </w:rPr>
  </w:style>
  <w:style w:type="character" w:customStyle="1" w:styleId="65">
    <w:name w:val="grame"/>
    <w:basedOn w:val="44"/>
    <w:qFormat/>
    <w:uiPriority w:val="0"/>
  </w:style>
  <w:style w:type="character" w:customStyle="1" w:styleId="66">
    <w:name w:val="font"/>
    <w:basedOn w:val="44"/>
    <w:qFormat/>
    <w:uiPriority w:val="0"/>
  </w:style>
  <w:style w:type="character" w:customStyle="1" w:styleId="67">
    <w:name w:val="font2"/>
    <w:basedOn w:val="44"/>
    <w:qFormat/>
    <w:uiPriority w:val="0"/>
  </w:style>
  <w:style w:type="character" w:customStyle="1" w:styleId="68">
    <w:name w:val="unnamed4"/>
    <w:basedOn w:val="44"/>
    <w:qFormat/>
    <w:uiPriority w:val="0"/>
  </w:style>
  <w:style w:type="character" w:customStyle="1" w:styleId="69">
    <w:name w:val="样式 小三 加粗"/>
    <w:qFormat/>
    <w:uiPriority w:val="0"/>
    <w:rPr>
      <w:rFonts w:eastAsia="宋体"/>
      <w:b/>
      <w:bCs/>
      <w:sz w:val="32"/>
    </w:rPr>
  </w:style>
  <w:style w:type="character" w:customStyle="1" w:styleId="70">
    <w:name w:val="z-窗体顶端 Char"/>
    <w:basedOn w:val="44"/>
    <w:qFormat/>
    <w:uiPriority w:val="0"/>
    <w:rPr>
      <w:rFonts w:ascii="Arial" w:hAnsi="Arial" w:eastAsia="宋体" w:cs="Times New Roman"/>
      <w:vanish/>
      <w:kern w:val="0"/>
      <w:sz w:val="16"/>
      <w:szCs w:val="16"/>
      <w:lang w:val="en-US" w:eastAsia="zh-CN"/>
    </w:rPr>
  </w:style>
  <w:style w:type="paragraph" w:customStyle="1" w:styleId="71">
    <w:name w:val="z-窗体顶端1"/>
    <w:basedOn w:val="1"/>
    <w:next w:val="1"/>
    <w:link w:val="180"/>
    <w:qFormat/>
    <w:uiPriority w:val="0"/>
    <w:pPr>
      <w:widowControl/>
      <w:pBdr>
        <w:bottom w:val="single" w:color="auto" w:sz="6" w:space="1"/>
      </w:pBdr>
      <w:jc w:val="center"/>
    </w:pPr>
    <w:rPr>
      <w:rFonts w:ascii="Arial" w:hAnsi="Arial"/>
      <w:vanish/>
      <w:kern w:val="0"/>
      <w:sz w:val="16"/>
      <w:szCs w:val="16"/>
    </w:rPr>
  </w:style>
  <w:style w:type="character" w:customStyle="1" w:styleId="72">
    <w:name w:val="批注文字 Char"/>
    <w:basedOn w:val="44"/>
    <w:link w:val="17"/>
    <w:qFormat/>
    <w:uiPriority w:val="0"/>
    <w:rPr>
      <w:rFonts w:ascii="宋体" w:hAnsi="Times New Roman" w:eastAsia="宋体" w:cs="Times New Roman"/>
      <w:kern w:val="0"/>
      <w:sz w:val="34"/>
      <w:szCs w:val="20"/>
    </w:rPr>
  </w:style>
  <w:style w:type="character" w:customStyle="1" w:styleId="73">
    <w:name w:val="标题 Char"/>
    <w:basedOn w:val="44"/>
    <w:link w:val="39"/>
    <w:qFormat/>
    <w:uiPriority w:val="0"/>
    <w:rPr>
      <w:rFonts w:ascii="Arial" w:hAnsi="Arial" w:eastAsia="隶书" w:cs="Times New Roman"/>
      <w:b/>
      <w:bCs/>
      <w:kern w:val="0"/>
      <w:sz w:val="32"/>
      <w:szCs w:val="32"/>
    </w:rPr>
  </w:style>
  <w:style w:type="character" w:customStyle="1" w:styleId="74">
    <w:name w:val="正文文本 Char"/>
    <w:basedOn w:val="44"/>
    <w:semiHidden/>
    <w:qFormat/>
    <w:uiPriority w:val="99"/>
    <w:rPr>
      <w:rFonts w:ascii="Calibri" w:hAnsi="Calibri" w:eastAsia="宋体" w:cs="Times New Roman"/>
    </w:rPr>
  </w:style>
  <w:style w:type="character" w:customStyle="1" w:styleId="75">
    <w:name w:val="正文缩进 Char"/>
    <w:link w:val="8"/>
    <w:qFormat/>
    <w:uiPriority w:val="0"/>
    <w:rPr>
      <w:rFonts w:ascii="Times New Roman" w:hAnsi="Times New Roman" w:eastAsia="宋体" w:cs="Times New Roman"/>
      <w:kern w:val="0"/>
      <w:sz w:val="20"/>
      <w:szCs w:val="20"/>
    </w:rPr>
  </w:style>
  <w:style w:type="character" w:customStyle="1" w:styleId="76">
    <w:name w:val="日期 Char"/>
    <w:basedOn w:val="44"/>
    <w:link w:val="25"/>
    <w:qFormat/>
    <w:uiPriority w:val="0"/>
    <w:rPr>
      <w:rFonts w:ascii="宋体" w:hAnsi="Courier New" w:eastAsia="宋体" w:cs="Times New Roman"/>
      <w:kern w:val="0"/>
      <w:sz w:val="32"/>
      <w:szCs w:val="20"/>
    </w:rPr>
  </w:style>
  <w:style w:type="character" w:customStyle="1" w:styleId="77">
    <w:name w:val="正文文字首行缩进 Char"/>
    <w:qFormat/>
    <w:uiPriority w:val="0"/>
    <w:rPr>
      <w:kern w:val="2"/>
      <w:sz w:val="21"/>
      <w:szCs w:val="24"/>
    </w:rPr>
  </w:style>
  <w:style w:type="character" w:customStyle="1" w:styleId="78">
    <w:name w:val="unnamed3"/>
    <w:basedOn w:val="44"/>
    <w:qFormat/>
    <w:uiPriority w:val="0"/>
  </w:style>
  <w:style w:type="character" w:customStyle="1" w:styleId="79">
    <w:name w:val="批注主题 Char"/>
    <w:basedOn w:val="72"/>
    <w:link w:val="40"/>
    <w:qFormat/>
    <w:uiPriority w:val="99"/>
    <w:rPr>
      <w:rFonts w:ascii="Times New Roman"/>
      <w:b/>
      <w:bCs/>
      <w:szCs w:val="24"/>
    </w:rPr>
  </w:style>
  <w:style w:type="character" w:customStyle="1" w:styleId="80">
    <w:name w:val="gray6"/>
    <w:basedOn w:val="44"/>
    <w:qFormat/>
    <w:uiPriority w:val="0"/>
  </w:style>
  <w:style w:type="character" w:customStyle="1" w:styleId="81">
    <w:name w:val="纯文本 Char"/>
    <w:basedOn w:val="44"/>
    <w:link w:val="23"/>
    <w:qFormat/>
    <w:uiPriority w:val="0"/>
    <w:rPr>
      <w:rFonts w:ascii="宋体" w:hAnsi="Courier New" w:eastAsia="宋体" w:cs="Times New Roman"/>
      <w:kern w:val="0"/>
      <w:sz w:val="20"/>
      <w:szCs w:val="20"/>
    </w:rPr>
  </w:style>
  <w:style w:type="character" w:customStyle="1" w:styleId="82">
    <w:name w:val="正文文本缩进 Char"/>
    <w:basedOn w:val="44"/>
    <w:link w:val="20"/>
    <w:qFormat/>
    <w:uiPriority w:val="0"/>
    <w:rPr>
      <w:rFonts w:ascii="Times New Roman" w:hAnsi="Times New Roman" w:eastAsia="宋体" w:cs="Times New Roman"/>
      <w:kern w:val="0"/>
      <w:sz w:val="20"/>
      <w:szCs w:val="24"/>
    </w:rPr>
  </w:style>
  <w:style w:type="character" w:customStyle="1" w:styleId="83">
    <w:name w:val="正文文本 2 Char"/>
    <w:basedOn w:val="44"/>
    <w:link w:val="35"/>
    <w:qFormat/>
    <w:uiPriority w:val="0"/>
    <w:rPr>
      <w:rFonts w:ascii="Times New Roman" w:hAnsi="Times New Roman" w:eastAsia="宋体" w:cs="Times New Roman"/>
      <w:kern w:val="0"/>
      <w:sz w:val="24"/>
      <w:szCs w:val="24"/>
    </w:rPr>
  </w:style>
  <w:style w:type="character" w:customStyle="1" w:styleId="84">
    <w:name w:val="标题 3 Char Char"/>
    <w:qFormat/>
    <w:uiPriority w:val="0"/>
    <w:rPr>
      <w:rFonts w:eastAsia="宋体"/>
      <w:b/>
      <w:bCs/>
      <w:kern w:val="2"/>
      <w:sz w:val="32"/>
      <w:szCs w:val="32"/>
      <w:lang w:val="en-US" w:eastAsia="zh-CN" w:bidi="ar-SA"/>
    </w:rPr>
  </w:style>
  <w:style w:type="character" w:customStyle="1" w:styleId="85">
    <w:name w:val="--规划正文 Char1"/>
    <w:qFormat/>
    <w:uiPriority w:val="0"/>
    <w:rPr>
      <w:rFonts w:eastAsia="宋体"/>
      <w:kern w:val="2"/>
      <w:sz w:val="21"/>
      <w:lang w:val="en-US" w:eastAsia="zh-CN" w:bidi="ar-SA"/>
    </w:rPr>
  </w:style>
  <w:style w:type="character" w:customStyle="1" w:styleId="86">
    <w:name w:val="正文首行缩进 Char"/>
    <w:basedOn w:val="74"/>
    <w:link w:val="41"/>
    <w:qFormat/>
    <w:uiPriority w:val="0"/>
    <w:rPr>
      <w:rFonts w:ascii="Times New Roman" w:hAnsi="Times New Roman"/>
      <w:b/>
      <w:bCs/>
      <w:kern w:val="0"/>
      <w:sz w:val="20"/>
      <w:szCs w:val="24"/>
      <w:lang w:val="en-US" w:eastAsia="zh-CN"/>
    </w:rPr>
  </w:style>
  <w:style w:type="character" w:customStyle="1" w:styleId="87">
    <w:name w:val="z-窗体底端 Char"/>
    <w:basedOn w:val="44"/>
    <w:qFormat/>
    <w:uiPriority w:val="0"/>
    <w:rPr>
      <w:rFonts w:ascii="Arial" w:hAnsi="Arial" w:eastAsia="宋体" w:cs="Times New Roman"/>
      <w:vanish/>
      <w:kern w:val="0"/>
      <w:sz w:val="16"/>
      <w:szCs w:val="16"/>
      <w:lang w:val="en-US" w:eastAsia="zh-CN"/>
    </w:rPr>
  </w:style>
  <w:style w:type="paragraph" w:customStyle="1" w:styleId="88">
    <w:name w:val="z-窗体底端1"/>
    <w:basedOn w:val="1"/>
    <w:next w:val="1"/>
    <w:link w:val="200"/>
    <w:qFormat/>
    <w:uiPriority w:val="0"/>
    <w:pPr>
      <w:widowControl/>
      <w:pBdr>
        <w:top w:val="single" w:color="auto" w:sz="6" w:space="1"/>
      </w:pBdr>
      <w:jc w:val="center"/>
    </w:pPr>
    <w:rPr>
      <w:rFonts w:ascii="Arial" w:hAnsi="Arial"/>
      <w:vanish/>
      <w:kern w:val="0"/>
      <w:sz w:val="16"/>
      <w:szCs w:val="16"/>
    </w:rPr>
  </w:style>
  <w:style w:type="character" w:customStyle="1" w:styleId="89">
    <w:name w:val="HTML 预设格式 Char"/>
    <w:basedOn w:val="44"/>
    <w:link w:val="36"/>
    <w:qFormat/>
    <w:uiPriority w:val="0"/>
    <w:rPr>
      <w:rFonts w:ascii="Arial Unicode MS" w:hAnsi="Arial Unicode MS" w:eastAsia="Arial Unicode MS" w:cs="Times New Roman"/>
      <w:color w:val="000000"/>
      <w:kern w:val="0"/>
      <w:sz w:val="20"/>
      <w:szCs w:val="20"/>
    </w:rPr>
  </w:style>
  <w:style w:type="character" w:customStyle="1" w:styleId="90">
    <w:name w:val="H4 Char2"/>
    <w:qFormat/>
    <w:uiPriority w:val="0"/>
    <w:rPr>
      <w:rFonts w:ascii="Arial" w:hAnsi="Arial" w:eastAsia="黑体"/>
      <w:b/>
      <w:bCs/>
      <w:kern w:val="2"/>
      <w:sz w:val="28"/>
      <w:szCs w:val="28"/>
      <w:lang w:val="en-US" w:eastAsia="zh-CN" w:bidi="ar-SA"/>
    </w:rPr>
  </w:style>
  <w:style w:type="character" w:customStyle="1" w:styleId="91">
    <w:name w:val="正文文本 Char1"/>
    <w:link w:val="19"/>
    <w:qFormat/>
    <w:uiPriority w:val="0"/>
    <w:rPr>
      <w:rFonts w:ascii="Times New Roman" w:hAnsi="Times New Roman" w:eastAsia="宋体" w:cs="Times New Roman"/>
      <w:b/>
      <w:bCs/>
      <w:kern w:val="0"/>
      <w:sz w:val="24"/>
      <w:szCs w:val="24"/>
    </w:rPr>
  </w:style>
  <w:style w:type="character" w:customStyle="1" w:styleId="92">
    <w:name w:val="body text Char1"/>
    <w:qFormat/>
    <w:uiPriority w:val="0"/>
    <w:rPr>
      <w:rFonts w:eastAsia="宋体"/>
      <w:kern w:val="2"/>
      <w:sz w:val="21"/>
      <w:lang w:val="en-US" w:eastAsia="zh-CN" w:bidi="ar-SA"/>
    </w:rPr>
  </w:style>
  <w:style w:type="character" w:customStyle="1" w:styleId="93">
    <w:name w:val="文档结构图 Char"/>
    <w:basedOn w:val="44"/>
    <w:link w:val="16"/>
    <w:semiHidden/>
    <w:qFormat/>
    <w:uiPriority w:val="0"/>
    <w:rPr>
      <w:rFonts w:ascii="Times New Roman" w:hAnsi="Times New Roman" w:eastAsia="宋体" w:cs="Times New Roman"/>
      <w:kern w:val="0"/>
      <w:sz w:val="20"/>
      <w:szCs w:val="24"/>
      <w:shd w:val="clear" w:color="auto" w:fill="000080"/>
    </w:rPr>
  </w:style>
  <w:style w:type="character" w:customStyle="1" w:styleId="94">
    <w:name w:val="正文文本 3 Char"/>
    <w:basedOn w:val="44"/>
    <w:link w:val="18"/>
    <w:qFormat/>
    <w:uiPriority w:val="0"/>
    <w:rPr>
      <w:rFonts w:ascii="Times New Roman" w:hAnsi="Times New Roman" w:eastAsia="宋体" w:cs="Times New Roman"/>
      <w:kern w:val="0"/>
      <w:sz w:val="16"/>
      <w:szCs w:val="16"/>
    </w:rPr>
  </w:style>
  <w:style w:type="character" w:customStyle="1" w:styleId="95">
    <w:name w:val="blue"/>
    <w:basedOn w:val="44"/>
    <w:qFormat/>
    <w:uiPriority w:val="0"/>
  </w:style>
  <w:style w:type="character" w:customStyle="1" w:styleId="96">
    <w:name w:val="proddescription"/>
    <w:basedOn w:val="44"/>
    <w:qFormat/>
    <w:uiPriority w:val="0"/>
  </w:style>
  <w:style w:type="character" w:customStyle="1" w:styleId="97">
    <w:name w:val="缩进正文 Char"/>
    <w:link w:val="98"/>
    <w:qFormat/>
    <w:uiPriority w:val="0"/>
    <w:rPr>
      <w:rFonts w:ascii="Times New Roman" w:hAnsi="Times New Roman" w:eastAsia="仿宋_GB2312" w:cs="Times New Roman"/>
      <w:kern w:val="0"/>
      <w:sz w:val="28"/>
      <w:szCs w:val="20"/>
    </w:rPr>
  </w:style>
  <w:style w:type="paragraph" w:customStyle="1" w:styleId="98">
    <w:name w:val="缩进正文"/>
    <w:basedOn w:val="1"/>
    <w:link w:val="97"/>
    <w:qFormat/>
    <w:uiPriority w:val="0"/>
    <w:pPr>
      <w:ind w:firstLine="560" w:firstLineChars="200"/>
    </w:pPr>
    <w:rPr>
      <w:rFonts w:ascii="Times New Roman" w:hAnsi="Times New Roman" w:eastAsia="仿宋_GB2312"/>
      <w:kern w:val="0"/>
      <w:sz w:val="28"/>
      <w:szCs w:val="20"/>
    </w:rPr>
  </w:style>
  <w:style w:type="character" w:customStyle="1" w:styleId="99">
    <w:name w:val="style9"/>
    <w:basedOn w:val="44"/>
    <w:qFormat/>
    <w:uiPriority w:val="0"/>
  </w:style>
  <w:style w:type="character" w:customStyle="1" w:styleId="100">
    <w:name w:val="prodheadlines"/>
    <w:basedOn w:val="44"/>
    <w:qFormat/>
    <w:uiPriority w:val="0"/>
  </w:style>
  <w:style w:type="character" w:customStyle="1" w:styleId="101">
    <w:name w:val="content1"/>
    <w:qFormat/>
    <w:uiPriority w:val="0"/>
    <w:rPr>
      <w:rFonts w:hint="default" w:ascii="??" w:hAnsi="??"/>
      <w:sz w:val="16"/>
      <w:szCs w:val="16"/>
      <w:u w:val="none"/>
    </w:rPr>
  </w:style>
  <w:style w:type="character" w:customStyle="1" w:styleId="102">
    <w:name w:val="正文文本缩进 3 Char"/>
    <w:basedOn w:val="44"/>
    <w:link w:val="33"/>
    <w:qFormat/>
    <w:uiPriority w:val="0"/>
    <w:rPr>
      <w:rFonts w:ascii="宋体" w:hAnsi="Times New Roman" w:eastAsia="宋体" w:cs="Times New Roman"/>
      <w:b/>
      <w:bCs/>
      <w:kern w:val="0"/>
      <w:sz w:val="24"/>
      <w:szCs w:val="24"/>
    </w:rPr>
  </w:style>
  <w:style w:type="character" w:customStyle="1" w:styleId="103">
    <w:name w:val="章标题1 Char"/>
    <w:qFormat/>
    <w:uiPriority w:val="0"/>
    <w:rPr>
      <w:rFonts w:eastAsia="宋体"/>
      <w:b/>
      <w:bCs/>
      <w:kern w:val="2"/>
      <w:sz w:val="32"/>
      <w:szCs w:val="32"/>
      <w:lang w:val="en-US" w:eastAsia="zh-CN" w:bidi="ar-SA"/>
    </w:rPr>
  </w:style>
  <w:style w:type="character" w:customStyle="1" w:styleId="104">
    <w:name w:val="font41"/>
    <w:qFormat/>
    <w:uiPriority w:val="0"/>
    <w:rPr>
      <w:color w:val="000000"/>
      <w:spacing w:val="260"/>
      <w:sz w:val="18"/>
      <w:szCs w:val="18"/>
      <w:u w:val="none"/>
    </w:rPr>
  </w:style>
  <w:style w:type="character" w:customStyle="1" w:styleId="105">
    <w:name w:val="alt-edited1"/>
    <w:qFormat/>
    <w:uiPriority w:val="0"/>
    <w:rPr>
      <w:color w:val="4D90F0"/>
    </w:rPr>
  </w:style>
  <w:style w:type="character" w:customStyle="1" w:styleId="106">
    <w:name w:val="info4"/>
    <w:basedOn w:val="44"/>
    <w:qFormat/>
    <w:uiPriority w:val="0"/>
  </w:style>
  <w:style w:type="character" w:customStyle="1" w:styleId="107">
    <w:name w:val="第*章 Char"/>
    <w:qFormat/>
    <w:uiPriority w:val="0"/>
    <w:rPr>
      <w:rFonts w:ascii="Arial" w:hAnsi="Arial" w:eastAsia="黑体"/>
      <w:b/>
      <w:bCs/>
      <w:kern w:val="2"/>
      <w:sz w:val="32"/>
      <w:szCs w:val="32"/>
    </w:rPr>
  </w:style>
  <w:style w:type="character" w:customStyle="1" w:styleId="108">
    <w:name w:val="text"/>
    <w:basedOn w:val="44"/>
    <w:qFormat/>
    <w:uiPriority w:val="0"/>
  </w:style>
  <w:style w:type="character" w:customStyle="1" w:styleId="109">
    <w:name w:val="正文文本缩进 2 Char"/>
    <w:basedOn w:val="44"/>
    <w:link w:val="26"/>
    <w:qFormat/>
    <w:uiPriority w:val="0"/>
    <w:rPr>
      <w:rFonts w:ascii="宋体" w:hAnsi="宋体" w:eastAsia="宋体" w:cs="Times New Roman"/>
      <w:kern w:val="0"/>
      <w:sz w:val="20"/>
      <w:szCs w:val="24"/>
    </w:rPr>
  </w:style>
  <w:style w:type="character" w:customStyle="1" w:styleId="110">
    <w:name w:val="font11"/>
    <w:qFormat/>
    <w:uiPriority w:val="0"/>
    <w:rPr>
      <w:rFonts w:hint="default" w:ascii="ˎ̥" w:hAnsi="ˎ̥"/>
    </w:rPr>
  </w:style>
  <w:style w:type="character" w:customStyle="1" w:styleId="111">
    <w:name w:val="批注框文本 Char"/>
    <w:basedOn w:val="44"/>
    <w:link w:val="27"/>
    <w:qFormat/>
    <w:uiPriority w:val="99"/>
    <w:rPr>
      <w:rFonts w:ascii="Times New Roman" w:hAnsi="Times New Roman" w:eastAsia="宋体" w:cs="Times New Roman"/>
      <w:kern w:val="0"/>
      <w:sz w:val="18"/>
      <w:szCs w:val="18"/>
    </w:rPr>
  </w:style>
  <w:style w:type="character" w:customStyle="1" w:styleId="112">
    <w:name w:val="mode"/>
    <w:basedOn w:val="44"/>
    <w:qFormat/>
    <w:uiPriority w:val="0"/>
  </w:style>
  <w:style w:type="character" w:customStyle="1" w:styleId="113">
    <w:name w:val="正文文本 3 Char1"/>
    <w:basedOn w:val="44"/>
    <w:link w:val="18"/>
    <w:semiHidden/>
    <w:qFormat/>
    <w:uiPriority w:val="99"/>
    <w:rPr>
      <w:rFonts w:ascii="Calibri" w:hAnsi="Calibri" w:eastAsia="宋体" w:cs="Times New Roman"/>
      <w:sz w:val="16"/>
      <w:szCs w:val="16"/>
    </w:rPr>
  </w:style>
  <w:style w:type="character" w:customStyle="1" w:styleId="114">
    <w:name w:val="纯文本 Char1"/>
    <w:basedOn w:val="44"/>
    <w:link w:val="23"/>
    <w:semiHidden/>
    <w:qFormat/>
    <w:uiPriority w:val="99"/>
    <w:rPr>
      <w:rFonts w:ascii="宋体" w:hAnsi="Courier New" w:eastAsia="宋体" w:cs="Courier New"/>
      <w:szCs w:val="21"/>
    </w:rPr>
  </w:style>
  <w:style w:type="character" w:customStyle="1" w:styleId="115">
    <w:name w:val="文档结构图 Char1"/>
    <w:basedOn w:val="44"/>
    <w:link w:val="16"/>
    <w:semiHidden/>
    <w:qFormat/>
    <w:uiPriority w:val="99"/>
    <w:rPr>
      <w:rFonts w:ascii="宋体" w:hAnsi="Calibri" w:eastAsia="宋体" w:cs="Times New Roman"/>
      <w:sz w:val="18"/>
      <w:szCs w:val="18"/>
    </w:rPr>
  </w:style>
  <w:style w:type="character" w:customStyle="1" w:styleId="116">
    <w:name w:val="日期 Char1"/>
    <w:basedOn w:val="44"/>
    <w:link w:val="25"/>
    <w:semiHidden/>
    <w:qFormat/>
    <w:uiPriority w:val="99"/>
    <w:rPr>
      <w:rFonts w:ascii="Calibri" w:hAnsi="Calibri" w:eastAsia="宋体" w:cs="Times New Roman"/>
    </w:rPr>
  </w:style>
  <w:style w:type="character" w:customStyle="1" w:styleId="117">
    <w:name w:val="正文文本 Char2"/>
    <w:basedOn w:val="44"/>
    <w:link w:val="19"/>
    <w:semiHidden/>
    <w:qFormat/>
    <w:uiPriority w:val="99"/>
    <w:rPr>
      <w:rFonts w:ascii="Calibri" w:hAnsi="Calibri" w:eastAsia="宋体" w:cs="Times New Roman"/>
    </w:rPr>
  </w:style>
  <w:style w:type="character" w:customStyle="1" w:styleId="118">
    <w:name w:val="正文文本缩进 Char1"/>
    <w:basedOn w:val="44"/>
    <w:link w:val="20"/>
    <w:semiHidden/>
    <w:qFormat/>
    <w:uiPriority w:val="99"/>
    <w:rPr>
      <w:rFonts w:ascii="Calibri" w:hAnsi="Calibri" w:eastAsia="宋体" w:cs="Times New Roman"/>
    </w:rPr>
  </w:style>
  <w:style w:type="character" w:customStyle="1" w:styleId="119">
    <w:name w:val="批注文字 Char1"/>
    <w:basedOn w:val="44"/>
    <w:link w:val="17"/>
    <w:semiHidden/>
    <w:qFormat/>
    <w:uiPriority w:val="99"/>
    <w:rPr>
      <w:rFonts w:ascii="Calibri" w:hAnsi="Calibri" w:eastAsia="宋体" w:cs="Times New Roman"/>
    </w:rPr>
  </w:style>
  <w:style w:type="character" w:customStyle="1" w:styleId="120">
    <w:name w:val="HTML 预设格式 Char1"/>
    <w:basedOn w:val="44"/>
    <w:link w:val="36"/>
    <w:semiHidden/>
    <w:qFormat/>
    <w:uiPriority w:val="99"/>
    <w:rPr>
      <w:rFonts w:ascii="Courier New" w:hAnsi="Courier New" w:eastAsia="宋体" w:cs="Courier New"/>
      <w:sz w:val="20"/>
      <w:szCs w:val="20"/>
    </w:rPr>
  </w:style>
  <w:style w:type="character" w:customStyle="1" w:styleId="121">
    <w:name w:val="正文文本缩进 2 Char1"/>
    <w:basedOn w:val="44"/>
    <w:link w:val="26"/>
    <w:semiHidden/>
    <w:qFormat/>
    <w:uiPriority w:val="99"/>
    <w:rPr>
      <w:rFonts w:ascii="Calibri" w:hAnsi="Calibri" w:eastAsia="宋体" w:cs="Times New Roman"/>
    </w:rPr>
  </w:style>
  <w:style w:type="character" w:customStyle="1" w:styleId="122">
    <w:name w:val="正文文本 2 Char1"/>
    <w:basedOn w:val="44"/>
    <w:link w:val="35"/>
    <w:semiHidden/>
    <w:qFormat/>
    <w:uiPriority w:val="99"/>
    <w:rPr>
      <w:rFonts w:ascii="Calibri" w:hAnsi="Calibri" w:eastAsia="宋体" w:cs="Times New Roman"/>
    </w:rPr>
  </w:style>
  <w:style w:type="character" w:customStyle="1" w:styleId="123">
    <w:name w:val="批注框文本 Char1"/>
    <w:basedOn w:val="44"/>
    <w:link w:val="27"/>
    <w:semiHidden/>
    <w:qFormat/>
    <w:uiPriority w:val="99"/>
    <w:rPr>
      <w:rFonts w:ascii="Calibri" w:hAnsi="Calibri" w:eastAsia="宋体" w:cs="Times New Roman"/>
      <w:sz w:val="18"/>
      <w:szCs w:val="18"/>
    </w:rPr>
  </w:style>
  <w:style w:type="character" w:customStyle="1" w:styleId="124">
    <w:name w:val="正文文本缩进 3 Char1"/>
    <w:basedOn w:val="44"/>
    <w:link w:val="33"/>
    <w:semiHidden/>
    <w:qFormat/>
    <w:uiPriority w:val="99"/>
    <w:rPr>
      <w:rFonts w:ascii="Calibri" w:hAnsi="Calibri" w:eastAsia="宋体" w:cs="Times New Roman"/>
      <w:sz w:val="16"/>
      <w:szCs w:val="16"/>
    </w:rPr>
  </w:style>
  <w:style w:type="character" w:customStyle="1" w:styleId="125">
    <w:name w:val="标题 Char1"/>
    <w:basedOn w:val="44"/>
    <w:link w:val="39"/>
    <w:qFormat/>
    <w:uiPriority w:val="10"/>
    <w:rPr>
      <w:rFonts w:eastAsia="宋体" w:asciiTheme="majorHAnsi" w:hAnsiTheme="majorHAnsi" w:cstheme="majorBidi"/>
      <w:b/>
      <w:bCs/>
      <w:sz w:val="32"/>
      <w:szCs w:val="32"/>
    </w:rPr>
  </w:style>
  <w:style w:type="character" w:customStyle="1" w:styleId="126">
    <w:name w:val="批注主题 Char1"/>
    <w:basedOn w:val="119"/>
    <w:link w:val="40"/>
    <w:semiHidden/>
    <w:qFormat/>
    <w:uiPriority w:val="99"/>
    <w:rPr>
      <w:b/>
      <w:bCs/>
    </w:rPr>
  </w:style>
  <w:style w:type="character" w:customStyle="1" w:styleId="127">
    <w:name w:val="正文首行缩进 Char1"/>
    <w:basedOn w:val="117"/>
    <w:link w:val="41"/>
    <w:semiHidden/>
    <w:qFormat/>
    <w:uiPriority w:val="99"/>
  </w:style>
  <w:style w:type="paragraph" w:customStyle="1" w:styleId="128">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129">
    <w:name w:val="编号1"/>
    <w:basedOn w:val="1"/>
    <w:qFormat/>
    <w:uiPriority w:val="0"/>
    <w:pPr>
      <w:tabs>
        <w:tab w:val="left" w:pos="360"/>
      </w:tabs>
      <w:adjustRightInd w:val="0"/>
      <w:spacing w:line="300" w:lineRule="auto"/>
      <w:ind w:left="360" w:right="210" w:hanging="360"/>
      <w:textAlignment w:val="center"/>
    </w:pPr>
    <w:rPr>
      <w:rFonts w:ascii="宋体" w:hAnsi="宋体"/>
      <w:snapToGrid w:val="0"/>
      <w:spacing w:val="10"/>
      <w:kern w:val="24"/>
      <w:szCs w:val="24"/>
    </w:rPr>
  </w:style>
  <w:style w:type="paragraph" w:customStyle="1" w:styleId="130">
    <w:name w:val="--规划正文"/>
    <w:basedOn w:val="1"/>
    <w:qFormat/>
    <w:uiPriority w:val="0"/>
    <w:pPr>
      <w:spacing w:line="360" w:lineRule="auto"/>
      <w:ind w:firstLine="200" w:firstLineChars="200"/>
    </w:pPr>
    <w:rPr>
      <w:rFonts w:ascii="Times New Roman" w:hAnsi="Times New Roman"/>
      <w:szCs w:val="20"/>
    </w:rPr>
  </w:style>
  <w:style w:type="paragraph" w:customStyle="1" w:styleId="131">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32">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3">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4">
    <w:name w:val="9"/>
    <w:basedOn w:val="1"/>
    <w:next w:val="8"/>
    <w:qFormat/>
    <w:uiPriority w:val="0"/>
    <w:pPr>
      <w:autoSpaceDE w:val="0"/>
      <w:autoSpaceDN w:val="0"/>
      <w:adjustRightInd w:val="0"/>
      <w:ind w:firstLine="420"/>
      <w:jc w:val="left"/>
      <w:textAlignment w:val="baseline"/>
    </w:pPr>
    <w:rPr>
      <w:rFonts w:ascii="宋体" w:hAnsi="Times New Roman"/>
      <w:kern w:val="0"/>
      <w:sz w:val="34"/>
      <w:szCs w:val="20"/>
    </w:rPr>
  </w:style>
  <w:style w:type="paragraph" w:customStyle="1" w:styleId="135">
    <w:name w:val="00"/>
    <w:basedOn w:val="1"/>
    <w:qFormat/>
    <w:uiPriority w:val="0"/>
    <w:pPr>
      <w:autoSpaceDE w:val="0"/>
      <w:autoSpaceDN w:val="0"/>
      <w:adjustRightInd w:val="0"/>
      <w:jc w:val="left"/>
    </w:pPr>
    <w:rPr>
      <w:rFonts w:ascii="黑体" w:hAnsi="Times New Roman" w:eastAsia="黑体"/>
      <w:b/>
      <w:bCs/>
      <w:kern w:val="0"/>
      <w:sz w:val="20"/>
      <w:szCs w:val="20"/>
    </w:rPr>
  </w:style>
  <w:style w:type="paragraph" w:customStyle="1" w:styleId="136">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37">
    <w:name w:val="blue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8">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9">
    <w:name w:val="样式 标题 2 + 段前: 13 磅 段后: 13 磅 行距: 单倍行距"/>
    <w:basedOn w:val="6"/>
    <w:qFormat/>
    <w:uiPriority w:val="0"/>
    <w:pPr>
      <w:adjustRightInd/>
      <w:spacing w:before="0" w:after="0"/>
      <w:jc w:val="both"/>
      <w:textAlignment w:val="auto"/>
    </w:pPr>
    <w:rPr>
      <w:rFonts w:ascii="Cambria" w:hAnsi="Cambria" w:cs="宋体"/>
      <w:kern w:val="2"/>
      <w:sz w:val="32"/>
    </w:rPr>
  </w:style>
  <w:style w:type="paragraph" w:customStyle="1" w:styleId="140">
    <w:name w:val="RFI text from 3rd Level"/>
    <w:basedOn w:val="1"/>
    <w:qFormat/>
    <w:uiPriority w:val="0"/>
    <w:pPr>
      <w:widowControl/>
      <w:tabs>
        <w:tab w:val="left" w:pos="1080"/>
      </w:tabs>
      <w:spacing w:beforeLines="50" w:line="360" w:lineRule="auto"/>
    </w:pPr>
    <w:rPr>
      <w:rFonts w:ascii="Arial (W1)" w:hAnsi="Arial (W1)"/>
      <w:bCs/>
      <w:kern w:val="0"/>
      <w:sz w:val="24"/>
      <w:szCs w:val="24"/>
      <w:lang w:val="en-GB"/>
    </w:rPr>
  </w:style>
  <w:style w:type="paragraph" w:customStyle="1" w:styleId="141">
    <w:name w:val="列出段落1"/>
    <w:basedOn w:val="1"/>
    <w:link w:val="214"/>
    <w:qFormat/>
    <w:uiPriority w:val="0"/>
    <w:pPr>
      <w:ind w:firstLine="420" w:firstLineChars="200"/>
    </w:pPr>
    <w:rPr>
      <w:rFonts w:cs="Calibri"/>
      <w:szCs w:val="21"/>
    </w:rPr>
  </w:style>
  <w:style w:type="paragraph" w:customStyle="1" w:styleId="142">
    <w:name w:val="5"/>
    <w:basedOn w:val="1"/>
    <w:qFormat/>
    <w:uiPriority w:val="0"/>
    <w:pPr>
      <w:autoSpaceDE w:val="0"/>
      <w:autoSpaceDN w:val="0"/>
      <w:adjustRightInd w:val="0"/>
      <w:jc w:val="left"/>
    </w:pPr>
    <w:rPr>
      <w:rFonts w:ascii="宋体" w:hAnsi="Times New Roman"/>
      <w:b/>
      <w:bCs/>
      <w:kern w:val="0"/>
      <w:sz w:val="18"/>
      <w:szCs w:val="18"/>
    </w:rPr>
  </w:style>
  <w:style w:type="paragraph" w:customStyle="1" w:styleId="143">
    <w:name w:val="_Style 28"/>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4">
    <w:name w:val="设计依据"/>
    <w:basedOn w:val="19"/>
    <w:qFormat/>
    <w:uiPriority w:val="0"/>
    <w:pPr>
      <w:tabs>
        <w:tab w:val="left" w:pos="1440"/>
      </w:tabs>
      <w:adjustRightInd w:val="0"/>
      <w:ind w:left="1440" w:hanging="420"/>
      <w:textAlignment w:val="baseline"/>
    </w:pPr>
    <w:rPr>
      <w:rFonts w:ascii="宋体" w:hAnsi="宋体"/>
      <w:b w:val="0"/>
      <w:sz w:val="28"/>
      <w:szCs w:val="18"/>
    </w:rPr>
  </w:style>
  <w:style w:type="paragraph" w:styleId="145">
    <w:name w:val="List Paragraph"/>
    <w:basedOn w:val="1"/>
    <w:qFormat/>
    <w:uiPriority w:val="34"/>
    <w:pPr>
      <w:ind w:firstLine="420" w:firstLineChars="200"/>
    </w:pPr>
  </w:style>
  <w:style w:type="paragraph" w:customStyle="1" w:styleId="146">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7">
    <w:name w:val="--规划-小标题"/>
    <w:basedOn w:val="1"/>
    <w:next w:val="130"/>
    <w:qFormat/>
    <w:uiPriority w:val="0"/>
    <w:pPr>
      <w:keepNext/>
      <w:keepLines/>
      <w:spacing w:line="360" w:lineRule="auto"/>
      <w:outlineLvl w:val="4"/>
    </w:pPr>
    <w:rPr>
      <w:rFonts w:ascii="Times New Roman" w:hAnsi="Times New Roman" w:eastAsia="黑体"/>
      <w:szCs w:val="24"/>
    </w:rPr>
  </w:style>
  <w:style w:type="paragraph" w:customStyle="1" w:styleId="148">
    <w:name w:val="自定义正文"/>
    <w:basedOn w:val="1"/>
    <w:qFormat/>
    <w:uiPriority w:val="0"/>
    <w:pPr>
      <w:spacing w:afterLines="50"/>
      <w:ind w:left="600" w:leftChars="600"/>
    </w:pPr>
    <w:rPr>
      <w:rFonts w:ascii="Times New Roman" w:hAnsi="Times New Roman"/>
      <w:szCs w:val="24"/>
    </w:rPr>
  </w:style>
  <w:style w:type="paragraph" w:customStyle="1" w:styleId="149">
    <w:name w:val="段落正文"/>
    <w:basedOn w:val="23"/>
    <w:qFormat/>
    <w:uiPriority w:val="0"/>
    <w:pPr>
      <w:ind w:firstLine="560" w:firstLineChars="200"/>
    </w:pPr>
    <w:rPr>
      <w:sz w:val="28"/>
    </w:rPr>
  </w:style>
  <w:style w:type="paragraph" w:customStyle="1" w:styleId="150">
    <w:name w:val="封面文档标题"/>
    <w:basedOn w:val="1"/>
    <w:qFormat/>
    <w:uiPriority w:val="0"/>
    <w:pPr>
      <w:autoSpaceDE w:val="0"/>
      <w:autoSpaceDN w:val="0"/>
      <w:adjustRightInd w:val="0"/>
      <w:spacing w:line="360" w:lineRule="auto"/>
      <w:jc w:val="center"/>
    </w:pPr>
    <w:rPr>
      <w:rFonts w:ascii="Arial" w:hAnsi="Arial"/>
      <w:b/>
      <w:kern w:val="0"/>
      <w:sz w:val="56"/>
      <w:szCs w:val="24"/>
    </w:rPr>
  </w:style>
  <w:style w:type="paragraph" w:customStyle="1" w:styleId="151">
    <w:name w:val="--规划-表格-居中"/>
    <w:basedOn w:val="130"/>
    <w:qFormat/>
    <w:uiPriority w:val="0"/>
    <w:pPr>
      <w:spacing w:line="240" w:lineRule="auto"/>
      <w:ind w:firstLine="0" w:firstLineChars="0"/>
      <w:jc w:val="center"/>
    </w:pPr>
    <w:rPr>
      <w:sz w:val="20"/>
    </w:rPr>
  </w:style>
  <w:style w:type="paragraph" w:customStyle="1" w:styleId="15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3">
    <w:name w:val="Normal Paragraph"/>
    <w:basedOn w:val="1"/>
    <w:qFormat/>
    <w:uiPriority w:val="0"/>
    <w:pPr>
      <w:widowControl/>
      <w:spacing w:before="120" w:line="360" w:lineRule="auto"/>
      <w:ind w:firstLine="425"/>
    </w:pPr>
    <w:rPr>
      <w:rFonts w:ascii="Times New Roman" w:hAnsi="Times New Roman"/>
      <w:kern w:val="0"/>
      <w:sz w:val="24"/>
      <w:szCs w:val="24"/>
    </w:rPr>
  </w:style>
  <w:style w:type="paragraph" w:customStyle="1" w:styleId="154">
    <w:name w:val="正文文字缩进项目"/>
    <w:basedOn w:val="20"/>
    <w:qFormat/>
    <w:uiPriority w:val="0"/>
    <w:pPr>
      <w:tabs>
        <w:tab w:val="left" w:pos="840"/>
      </w:tabs>
      <w:spacing w:after="120" w:line="240" w:lineRule="auto"/>
      <w:ind w:left="840" w:firstLine="0" w:firstLineChars="0"/>
    </w:pPr>
    <w:rPr>
      <w:rFonts w:ascii="Tahoma" w:hAnsi="Tahoma"/>
      <w:sz w:val="22"/>
      <w:szCs w:val="20"/>
    </w:rPr>
  </w:style>
  <w:style w:type="paragraph" w:customStyle="1" w:styleId="155">
    <w:name w:val="小标题 1"/>
    <w:basedOn w:val="1"/>
    <w:qFormat/>
    <w:uiPriority w:val="0"/>
    <w:pPr>
      <w:autoSpaceDE w:val="0"/>
      <w:autoSpaceDN w:val="0"/>
      <w:adjustRightInd w:val="0"/>
      <w:spacing w:line="360" w:lineRule="atLeast"/>
    </w:pPr>
    <w:rPr>
      <w:rFonts w:ascii="文鼎粗黑" w:hAnsi="Times New Roman" w:eastAsia="文鼎粗黑"/>
      <w:kern w:val="0"/>
      <w:sz w:val="22"/>
      <w:szCs w:val="20"/>
    </w:rPr>
  </w:style>
  <w:style w:type="paragraph" w:customStyle="1" w:styleId="156">
    <w:name w:val="样式2"/>
    <w:basedOn w:val="39"/>
    <w:next w:val="157"/>
    <w:qFormat/>
    <w:uiPriority w:val="0"/>
    <w:pPr>
      <w:spacing w:before="120" w:after="120"/>
    </w:pPr>
    <w:rPr>
      <w:rFonts w:eastAsia="黑体"/>
      <w:b w:val="0"/>
      <w:sz w:val="30"/>
      <w:szCs w:val="30"/>
    </w:rPr>
  </w:style>
  <w:style w:type="paragraph" w:customStyle="1" w:styleId="157">
    <w:name w:val="样式1"/>
    <w:basedOn w:val="39"/>
    <w:qFormat/>
    <w:uiPriority w:val="0"/>
    <w:pPr>
      <w:spacing w:before="120" w:after="120"/>
    </w:pPr>
    <w:rPr>
      <w:rFonts w:eastAsia="黑体"/>
      <w:b w:val="0"/>
      <w:sz w:val="30"/>
      <w:szCs w:val="21"/>
    </w:rPr>
  </w:style>
  <w:style w:type="paragraph" w:customStyle="1" w:styleId="158">
    <w:name w:val="样式41"/>
    <w:basedOn w:val="1"/>
    <w:qFormat/>
    <w:uiPriority w:val="0"/>
    <w:pPr>
      <w:tabs>
        <w:tab w:val="left" w:pos="945"/>
        <w:tab w:val="left" w:pos="2040"/>
      </w:tabs>
      <w:spacing w:line="360" w:lineRule="auto"/>
      <w:ind w:left="2040" w:hanging="360"/>
    </w:pPr>
    <w:rPr>
      <w:rFonts w:ascii="Times New Roman" w:hAnsi="Times New Roman"/>
      <w:b/>
      <w:color w:val="000000"/>
      <w:sz w:val="24"/>
      <w:szCs w:val="20"/>
    </w:rPr>
  </w:style>
  <w:style w:type="paragraph" w:customStyle="1" w:styleId="159">
    <w:name w:val="Char Char"/>
    <w:basedOn w:val="1"/>
    <w:qFormat/>
    <w:uiPriority w:val="0"/>
    <w:rPr>
      <w:rFonts w:ascii="Tahoma" w:hAnsi="Tahoma"/>
      <w:sz w:val="24"/>
      <w:szCs w:val="20"/>
    </w:rPr>
  </w:style>
  <w:style w:type="paragraph" w:customStyle="1" w:styleId="160">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61">
    <w:name w:val="Char Char Char"/>
    <w:basedOn w:val="1"/>
    <w:qFormat/>
    <w:uiPriority w:val="0"/>
    <w:rPr>
      <w:rFonts w:ascii="Tahoma" w:hAnsi="Tahoma"/>
      <w:sz w:val="24"/>
      <w:szCs w:val="20"/>
    </w:rPr>
  </w:style>
  <w:style w:type="paragraph" w:customStyle="1" w:styleId="162">
    <w:name w:val="Char Char Char Char Char"/>
    <w:basedOn w:val="1"/>
    <w:qFormat/>
    <w:uiPriority w:val="0"/>
    <w:rPr>
      <w:rFonts w:ascii="Tahoma" w:hAnsi="Tahoma"/>
      <w:sz w:val="24"/>
      <w:szCs w:val="20"/>
    </w:rPr>
  </w:style>
  <w:style w:type="paragraph" w:customStyle="1" w:styleId="163">
    <w:name w:val="文档正文"/>
    <w:basedOn w:val="1"/>
    <w:qFormat/>
    <w:uiPriority w:val="0"/>
    <w:pPr>
      <w:adjustRightInd w:val="0"/>
      <w:spacing w:line="480" w:lineRule="atLeast"/>
      <w:ind w:firstLine="567" w:firstLineChars="200"/>
      <w:textAlignment w:val="baseline"/>
    </w:pPr>
    <w:rPr>
      <w:rFonts w:ascii="长城仿宋" w:hAnsi="Times New Roman"/>
      <w:kern w:val="0"/>
      <w:szCs w:val="20"/>
    </w:rPr>
  </w:style>
  <w:style w:type="paragraph" w:customStyle="1" w:styleId="164">
    <w:name w:val="USE 1"/>
    <w:basedOn w:val="1"/>
    <w:qFormat/>
    <w:uiPriority w:val="0"/>
    <w:pPr>
      <w:spacing w:line="200" w:lineRule="atLeast"/>
      <w:jc w:val="left"/>
    </w:pPr>
    <w:rPr>
      <w:rFonts w:ascii="宋体" w:hAnsi="宋体"/>
      <w:b/>
      <w:sz w:val="24"/>
      <w:szCs w:val="28"/>
    </w:rPr>
  </w:style>
  <w:style w:type="paragraph" w:customStyle="1" w:styleId="165">
    <w:name w:val="--编号内缩进"/>
    <w:basedOn w:val="1"/>
    <w:qFormat/>
    <w:uiPriority w:val="0"/>
    <w:pPr>
      <w:spacing w:line="360" w:lineRule="auto"/>
      <w:ind w:left="420" w:firstLine="200" w:firstLineChars="200"/>
    </w:pPr>
    <w:rPr>
      <w:rFonts w:ascii="Times New Roman" w:hAnsi="Times New Roman"/>
      <w:szCs w:val="21"/>
    </w:rPr>
  </w:style>
  <w:style w:type="paragraph" w:customStyle="1" w:styleId="166">
    <w:name w:val="图"/>
    <w:basedOn w:val="1"/>
    <w:qFormat/>
    <w:uiPriority w:val="99"/>
    <w:pPr>
      <w:keepNext/>
      <w:adjustRightInd w:val="0"/>
      <w:snapToGrid w:val="0"/>
      <w:spacing w:before="60" w:after="60" w:line="300" w:lineRule="auto"/>
      <w:jc w:val="center"/>
    </w:pPr>
    <w:rPr>
      <w:rFonts w:ascii="Times New Roman" w:hAnsi="Times New Roman"/>
      <w:spacing w:val="20"/>
      <w:kern w:val="0"/>
      <w:sz w:val="24"/>
      <w:szCs w:val="20"/>
    </w:rPr>
  </w:style>
  <w:style w:type="paragraph" w:customStyle="1" w:styleId="167">
    <w:name w:val="È±Ê¡ÎÄ±¾"/>
    <w:basedOn w:val="1"/>
    <w:qFormat/>
    <w:uiPriority w:val="0"/>
    <w:pPr>
      <w:widowControl/>
      <w:overflowPunct w:val="0"/>
      <w:autoSpaceDE w:val="0"/>
      <w:autoSpaceDN w:val="0"/>
      <w:adjustRightInd w:val="0"/>
      <w:jc w:val="left"/>
      <w:textAlignment w:val="baseline"/>
    </w:pPr>
    <w:rPr>
      <w:rFonts w:ascii="Times New Roman" w:hAnsi="Times New Roman"/>
      <w:kern w:val="0"/>
      <w:sz w:val="24"/>
      <w:szCs w:val="20"/>
    </w:rPr>
  </w:style>
  <w:style w:type="paragraph" w:customStyle="1" w:styleId="168">
    <w:name w:val="6"/>
    <w:basedOn w:val="142"/>
    <w:qFormat/>
    <w:uiPriority w:val="0"/>
    <w:pPr>
      <w:spacing w:line="270" w:lineRule="atLeast"/>
      <w:jc w:val="both"/>
    </w:pPr>
    <w:rPr>
      <w:b w:val="0"/>
      <w:bCs w:val="0"/>
    </w:rPr>
  </w:style>
  <w:style w:type="paragraph" w:customStyle="1" w:styleId="16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70">
    <w:name w:val="2册标题4"/>
    <w:basedOn w:val="1"/>
    <w:next w:val="1"/>
    <w:qFormat/>
    <w:uiPriority w:val="0"/>
    <w:pPr>
      <w:spacing w:beforeLines="50" w:afterLines="50" w:line="300" w:lineRule="auto"/>
      <w:ind w:left="420" w:leftChars="200"/>
      <w:outlineLvl w:val="3"/>
    </w:pPr>
    <w:rPr>
      <w:rFonts w:ascii="Arial" w:hAnsi="Arial" w:eastAsia="幼圆" w:cs="Arial"/>
      <w:b/>
      <w:sz w:val="24"/>
      <w:szCs w:val="24"/>
    </w:rPr>
  </w:style>
  <w:style w:type="paragraph" w:customStyle="1" w:styleId="171">
    <w:name w:val="--规划-表格-居左"/>
    <w:basedOn w:val="130"/>
    <w:qFormat/>
    <w:uiPriority w:val="0"/>
    <w:pPr>
      <w:spacing w:line="240" w:lineRule="auto"/>
      <w:ind w:firstLine="0" w:firstLineChars="0"/>
    </w:pPr>
    <w:rPr>
      <w:sz w:val="20"/>
    </w:rPr>
  </w:style>
  <w:style w:type="paragraph" w:customStyle="1" w:styleId="172">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3">
    <w:name w:val="方案要点"/>
    <w:basedOn w:val="1"/>
    <w:qFormat/>
    <w:uiPriority w:val="0"/>
    <w:pPr>
      <w:tabs>
        <w:tab w:val="left" w:pos="420"/>
      </w:tabs>
      <w:spacing w:line="360" w:lineRule="auto"/>
      <w:ind w:left="420" w:hanging="420"/>
    </w:pPr>
    <w:rPr>
      <w:rFonts w:ascii="仿宋_GB2312" w:hAnsi="宋体" w:eastAsia="仿宋_GB2312"/>
      <w:color w:val="000000"/>
      <w:sz w:val="28"/>
      <w:szCs w:val="28"/>
    </w:rPr>
  </w:style>
  <w:style w:type="paragraph" w:customStyle="1" w:styleId="174">
    <w:name w:val="--规划-图和表"/>
    <w:next w:val="130"/>
    <w:qFormat/>
    <w:uiPriority w:val="0"/>
    <w:pPr>
      <w:jc w:val="center"/>
    </w:pPr>
    <w:rPr>
      <w:rFonts w:ascii="Times New Roman" w:hAnsi="Times New Roman" w:eastAsia="宋体" w:cs="Times New Roman"/>
      <w:kern w:val="2"/>
      <w:sz w:val="21"/>
      <w:lang w:val="en-US" w:eastAsia="zh-CN" w:bidi="ar-SA"/>
    </w:rPr>
  </w:style>
  <w:style w:type="paragraph" w:customStyle="1" w:styleId="175">
    <w:name w:val="Char1"/>
    <w:basedOn w:val="1"/>
    <w:qFormat/>
    <w:uiPriority w:val="0"/>
    <w:pPr>
      <w:jc w:val="left"/>
    </w:pPr>
    <w:rPr>
      <w:rFonts w:ascii="Tahoma" w:hAnsi="Tahoma"/>
      <w:sz w:val="24"/>
      <w:szCs w:val="20"/>
    </w:rPr>
  </w:style>
  <w:style w:type="paragraph" w:customStyle="1" w:styleId="176">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77">
    <w:name w:val="汉仪细等线简9BOLD"/>
    <w:basedOn w:val="1"/>
    <w:qFormat/>
    <w:uiPriority w:val="0"/>
    <w:pPr>
      <w:autoSpaceDE w:val="0"/>
      <w:autoSpaceDN w:val="0"/>
      <w:adjustRightInd w:val="0"/>
      <w:spacing w:line="240" w:lineRule="atLeast"/>
    </w:pPr>
    <w:rPr>
      <w:rFonts w:ascii="汉仪细等线简" w:hAnsi="Times New Roman" w:eastAsia="汉仪细等线简"/>
      <w:b/>
      <w:bCs/>
      <w:kern w:val="0"/>
      <w:sz w:val="18"/>
      <w:szCs w:val="18"/>
    </w:rPr>
  </w:style>
  <w:style w:type="paragraph" w:customStyle="1" w:styleId="178">
    <w:name w:val="列表项目"/>
    <w:basedOn w:val="1"/>
    <w:qFormat/>
    <w:uiPriority w:val="0"/>
    <w:pPr>
      <w:tabs>
        <w:tab w:val="left" w:pos="420"/>
        <w:tab w:val="left" w:pos="1080"/>
      </w:tabs>
      <w:spacing w:line="288" w:lineRule="auto"/>
      <w:ind w:left="1080" w:hanging="360"/>
    </w:pPr>
    <w:rPr>
      <w:rFonts w:ascii="Times New Roman" w:hAnsi="Times New Roman"/>
      <w:sz w:val="24"/>
      <w:szCs w:val="20"/>
    </w:rPr>
  </w:style>
  <w:style w:type="paragraph" w:customStyle="1" w:styleId="179">
    <w:name w:val="text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80">
    <w:name w:val="z-窗体顶端 Char1"/>
    <w:basedOn w:val="44"/>
    <w:link w:val="71"/>
    <w:semiHidden/>
    <w:qFormat/>
    <w:uiPriority w:val="99"/>
    <w:rPr>
      <w:rFonts w:ascii="Arial" w:hAnsi="Arial" w:eastAsia="宋体" w:cs="Arial"/>
      <w:vanish/>
      <w:sz w:val="16"/>
      <w:szCs w:val="16"/>
    </w:rPr>
  </w:style>
  <w:style w:type="paragraph" w:customStyle="1" w:styleId="181">
    <w:name w:val="font0"/>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82">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8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
    <w:name w:val="样式4"/>
    <w:basedOn w:val="1"/>
    <w:qFormat/>
    <w:uiPriority w:val="0"/>
    <w:pPr>
      <w:tabs>
        <w:tab w:val="left" w:pos="842"/>
      </w:tabs>
      <w:spacing w:line="360" w:lineRule="auto"/>
      <w:ind w:left="842" w:hanging="420"/>
    </w:pPr>
    <w:rPr>
      <w:rFonts w:ascii="Times New Roman" w:hAnsi="Times New Roman"/>
      <w:sz w:val="24"/>
      <w:szCs w:val="24"/>
    </w:rPr>
  </w:style>
  <w:style w:type="paragraph" w:customStyle="1" w:styleId="185">
    <w:name w:val="文字"/>
    <w:basedOn w:val="1"/>
    <w:qFormat/>
    <w:uiPriority w:val="0"/>
    <w:pPr>
      <w:tabs>
        <w:tab w:val="left" w:pos="8520"/>
      </w:tabs>
      <w:spacing w:line="312" w:lineRule="auto"/>
      <w:ind w:right="-210" w:firstLine="556"/>
    </w:pPr>
    <w:rPr>
      <w:rFonts w:ascii="宋体" w:hAnsi="Times New Roman"/>
      <w:sz w:val="28"/>
      <w:szCs w:val="20"/>
    </w:rPr>
  </w:style>
  <w:style w:type="paragraph" w:customStyle="1" w:styleId="186">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87">
    <w:name w:val="--规划-题注"/>
    <w:basedOn w:val="1"/>
    <w:next w:val="130"/>
    <w:qFormat/>
    <w:uiPriority w:val="0"/>
    <w:pPr>
      <w:spacing w:line="360" w:lineRule="auto"/>
      <w:jc w:val="center"/>
    </w:pPr>
    <w:rPr>
      <w:rFonts w:ascii="Times New Roman" w:hAnsi="Times New Roman" w:eastAsia="黑体"/>
      <w:szCs w:val="24"/>
    </w:rPr>
  </w:style>
  <w:style w:type="paragraph" w:customStyle="1" w:styleId="188">
    <w:name w:val="font6"/>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189">
    <w:name w:val="--规划正文 Char"/>
    <w:basedOn w:val="1"/>
    <w:qFormat/>
    <w:uiPriority w:val="0"/>
    <w:pPr>
      <w:spacing w:line="360" w:lineRule="auto"/>
      <w:ind w:firstLine="200" w:firstLineChars="200"/>
    </w:pPr>
    <w:rPr>
      <w:rFonts w:ascii="Times New Roman" w:hAnsi="Times New Roman"/>
      <w:sz w:val="24"/>
      <w:szCs w:val="24"/>
    </w:rPr>
  </w:style>
  <w:style w:type="paragraph" w:customStyle="1" w:styleId="190">
    <w:name w:val="缺省文本"/>
    <w:basedOn w:val="1"/>
    <w:qFormat/>
    <w:uiPriority w:val="0"/>
    <w:pPr>
      <w:autoSpaceDE w:val="0"/>
      <w:autoSpaceDN w:val="0"/>
      <w:adjustRightInd w:val="0"/>
      <w:jc w:val="left"/>
    </w:pPr>
    <w:rPr>
      <w:rFonts w:ascii="Times New Roman" w:hAnsi="Times New Roman"/>
      <w:kern w:val="0"/>
      <w:szCs w:val="24"/>
    </w:rPr>
  </w:style>
  <w:style w:type="paragraph" w:customStyle="1" w:styleId="191">
    <w:name w:val="样式3"/>
    <w:basedOn w:val="3"/>
    <w:qFormat/>
    <w:uiPriority w:val="0"/>
    <w:pPr>
      <w:tabs>
        <w:tab w:val="left" w:pos="420"/>
      </w:tabs>
      <w:spacing w:before="240" w:after="240" w:line="480" w:lineRule="auto"/>
      <w:ind w:left="420" w:right="210" w:rightChars="100" w:hanging="420"/>
      <w:jc w:val="left"/>
    </w:pPr>
    <w:rPr>
      <w:rFonts w:ascii="Times New Roman" w:hAnsi="Times New Roman"/>
      <w:sz w:val="32"/>
    </w:rPr>
  </w:style>
  <w:style w:type="paragraph" w:customStyle="1" w:styleId="19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193">
    <w:name w:val="xl72"/>
    <w:basedOn w:val="1"/>
    <w:qFormat/>
    <w:uiPriority w:val="0"/>
    <w:pPr>
      <w:widowControl/>
      <w:spacing w:before="100" w:beforeAutospacing="1" w:after="100" w:afterAutospacing="1"/>
      <w:jc w:val="left"/>
    </w:pPr>
    <w:rPr>
      <w:rFonts w:ascii="宋体" w:hAnsi="宋体"/>
      <w:b/>
      <w:bCs/>
      <w:kern w:val="0"/>
      <w:sz w:val="28"/>
      <w:szCs w:val="28"/>
    </w:rPr>
  </w:style>
  <w:style w:type="paragraph" w:customStyle="1" w:styleId="194">
    <w:name w:val="7"/>
    <w:basedOn w:val="1"/>
    <w:qFormat/>
    <w:uiPriority w:val="0"/>
    <w:pPr>
      <w:autoSpaceDE w:val="0"/>
      <w:autoSpaceDN w:val="0"/>
      <w:adjustRightInd w:val="0"/>
      <w:spacing w:line="270" w:lineRule="atLeast"/>
      <w:jc w:val="left"/>
    </w:pPr>
    <w:rPr>
      <w:rFonts w:ascii="宋体" w:hAnsi="Times New Roman"/>
      <w:kern w:val="0"/>
      <w:sz w:val="18"/>
      <w:szCs w:val="18"/>
    </w:rPr>
  </w:style>
  <w:style w:type="paragraph" w:customStyle="1" w:styleId="195">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96">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97">
    <w:name w:val="8"/>
    <w:basedOn w:val="1"/>
    <w:next w:val="20"/>
    <w:qFormat/>
    <w:uiPriority w:val="0"/>
    <w:pPr>
      <w:spacing w:after="120"/>
      <w:ind w:left="420" w:leftChars="200"/>
    </w:pPr>
    <w:rPr>
      <w:rFonts w:ascii="Times New Roman" w:hAnsi="Times New Roman"/>
      <w:szCs w:val="24"/>
    </w:rPr>
  </w:style>
  <w:style w:type="paragraph" w:customStyle="1" w:styleId="198">
    <w:name w:val="姜文清定义的正文"/>
    <w:basedOn w:val="1"/>
    <w:qFormat/>
    <w:uiPriority w:val="0"/>
    <w:pPr>
      <w:spacing w:line="240" w:lineRule="atLeast"/>
      <w:ind w:firstLine="567"/>
    </w:pPr>
    <w:rPr>
      <w:rFonts w:ascii="Times New Roman" w:hAnsi="Times New Roman"/>
      <w:szCs w:val="20"/>
    </w:rPr>
  </w:style>
  <w:style w:type="paragraph" w:customStyle="1" w:styleId="199">
    <w:name w:val="CM2"/>
    <w:basedOn w:val="50"/>
    <w:next w:val="50"/>
    <w:qFormat/>
    <w:uiPriority w:val="0"/>
    <w:pPr>
      <w:spacing w:line="200" w:lineRule="atLeast"/>
    </w:pPr>
    <w:rPr>
      <w:rFonts w:ascii="Arial" w:hAnsi="Arial" w:eastAsia="宋体" w:cs="Times New Roman"/>
      <w:color w:val="auto"/>
    </w:rPr>
  </w:style>
  <w:style w:type="character" w:customStyle="1" w:styleId="200">
    <w:name w:val="z-窗体底端 Char1"/>
    <w:basedOn w:val="44"/>
    <w:link w:val="88"/>
    <w:semiHidden/>
    <w:qFormat/>
    <w:uiPriority w:val="99"/>
    <w:rPr>
      <w:rFonts w:ascii="Arial" w:hAnsi="Arial" w:eastAsia="宋体" w:cs="Arial"/>
      <w:vanish/>
      <w:sz w:val="16"/>
      <w:szCs w:val="16"/>
    </w:rPr>
  </w:style>
  <w:style w:type="paragraph" w:customStyle="1" w:styleId="201">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paragraph" w:customStyle="1" w:styleId="202">
    <w:name w:val="正文样式"/>
    <w:basedOn w:val="1"/>
    <w:qFormat/>
    <w:uiPriority w:val="0"/>
    <w:pPr>
      <w:adjustRightInd w:val="0"/>
      <w:spacing w:line="400" w:lineRule="atLeast"/>
      <w:ind w:firstLine="570" w:firstLineChars="203"/>
      <w:textAlignment w:val="baseline"/>
    </w:pPr>
    <w:rPr>
      <w:rFonts w:ascii="Times New Roman" w:hAnsi="Times New Roman" w:eastAsia="仿宋_GB2312"/>
      <w:kern w:val="0"/>
      <w:sz w:val="28"/>
      <w:szCs w:val="20"/>
    </w:rPr>
  </w:style>
  <w:style w:type="paragraph" w:customStyle="1" w:styleId="20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204">
    <w:name w:val="表格字"/>
    <w:basedOn w:val="1"/>
    <w:qFormat/>
    <w:uiPriority w:val="0"/>
    <w:pPr>
      <w:adjustRightInd w:val="0"/>
      <w:jc w:val="center"/>
    </w:pPr>
    <w:rPr>
      <w:rFonts w:ascii="宋体" w:hAnsi="Times New Roman"/>
      <w:sz w:val="24"/>
      <w:szCs w:val="20"/>
    </w:rPr>
  </w:style>
  <w:style w:type="paragraph" w:customStyle="1" w:styleId="205">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06">
    <w:name w:val="评价"/>
    <w:basedOn w:val="1"/>
    <w:qFormat/>
    <w:uiPriority w:val="0"/>
    <w:pPr>
      <w:spacing w:afterLines="20"/>
      <w:ind w:firstLine="1446" w:firstLineChars="200"/>
    </w:pPr>
    <w:rPr>
      <w:sz w:val="24"/>
      <w:szCs w:val="24"/>
    </w:rPr>
  </w:style>
  <w:style w:type="paragraph" w:customStyle="1" w:styleId="207">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08">
    <w:name w:val="正文(缩进) 五号"/>
    <w:basedOn w:val="1"/>
    <w:qFormat/>
    <w:uiPriority w:val="0"/>
    <w:pPr>
      <w:widowControl/>
      <w:spacing w:after="120" w:line="360" w:lineRule="auto"/>
      <w:ind w:firstLine="420" w:firstLineChars="200"/>
      <w:jc w:val="left"/>
    </w:pPr>
    <w:rPr>
      <w:rFonts w:ascii="Arial" w:hAnsi="Arial" w:cs="宋体"/>
      <w:kern w:val="0"/>
      <w:szCs w:val="20"/>
    </w:rPr>
  </w:style>
  <w:style w:type="paragraph" w:customStyle="1" w:styleId="209">
    <w:name w:val="封面标题"/>
    <w:basedOn w:val="1"/>
    <w:qFormat/>
    <w:uiPriority w:val="0"/>
    <w:pPr>
      <w:spacing w:line="360" w:lineRule="auto"/>
      <w:jc w:val="center"/>
    </w:pPr>
    <w:rPr>
      <w:rFonts w:ascii="Times New Roman" w:hAnsi="Times New Roman" w:eastAsia="黑体"/>
      <w:sz w:val="48"/>
      <w:szCs w:val="20"/>
    </w:rPr>
  </w:style>
  <w:style w:type="paragraph" w:customStyle="1" w:styleId="210">
    <w:name w:val="列出段落2"/>
    <w:basedOn w:val="1"/>
    <w:qFormat/>
    <w:uiPriority w:val="0"/>
    <w:pPr>
      <w:ind w:firstLine="420" w:firstLineChars="200"/>
    </w:pPr>
    <w:rPr>
      <w:szCs w:val="20"/>
    </w:rPr>
  </w:style>
  <w:style w:type="paragraph" w:styleId="211">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12">
    <w:name w:val="font31"/>
    <w:basedOn w:val="44"/>
    <w:qFormat/>
    <w:uiPriority w:val="0"/>
    <w:rPr>
      <w:rFonts w:hint="default" w:ascii="Times New Roman" w:hAnsi="Times New Roman" w:cs="Times New Roman"/>
      <w:color w:val="000000"/>
      <w:sz w:val="21"/>
      <w:szCs w:val="21"/>
      <w:u w:val="none"/>
    </w:rPr>
  </w:style>
  <w:style w:type="character" w:customStyle="1" w:styleId="213">
    <w:name w:val="正文缩进 Char1"/>
    <w:qFormat/>
    <w:uiPriority w:val="0"/>
    <w:rPr>
      <w:rFonts w:eastAsia="宋体"/>
      <w:kern w:val="2"/>
      <w:sz w:val="21"/>
      <w:lang w:val="en-US" w:eastAsia="zh-CN" w:bidi="ar-SA"/>
    </w:rPr>
  </w:style>
  <w:style w:type="character" w:customStyle="1" w:styleId="214">
    <w:name w:val="列表段落 字符"/>
    <w:link w:val="141"/>
    <w:qFormat/>
    <w:uiPriority w:val="0"/>
    <w:rPr>
      <w:rFonts w:ascii="Calibri" w:hAnsi="Calibri" w:eastAsia="宋体" w:cs="Calibri"/>
      <w:szCs w:val="21"/>
    </w:rPr>
  </w:style>
  <w:style w:type="paragraph" w:customStyle="1" w:styleId="215">
    <w:name w:val="xl75"/>
    <w:basedOn w:val="1"/>
    <w:qFormat/>
    <w:uiPriority w:val="0"/>
    <w:pPr>
      <w:widowControl/>
      <w:spacing w:before="100" w:beforeAutospacing="1" w:after="100" w:afterAutospacing="1"/>
      <w:jc w:val="center"/>
      <w:textAlignment w:val="center"/>
    </w:pPr>
    <w:rPr>
      <w:rFonts w:ascii="新宋体" w:hAnsi="新宋体" w:eastAsia="新宋体" w:cs="宋体"/>
      <w:kern w:val="0"/>
      <w:sz w:val="24"/>
      <w:szCs w:val="24"/>
    </w:rPr>
  </w:style>
  <w:style w:type="paragraph" w:customStyle="1" w:styleId="216">
    <w:name w:val=".正文"/>
    <w:basedOn w:val="1"/>
    <w:qFormat/>
    <w:uiPriority w:val="0"/>
    <w:pPr>
      <w:spacing w:beforeLines="50"/>
      <w:ind w:firstLine="200" w:firstLineChars="200"/>
    </w:pPr>
    <w:rPr>
      <w:rFonts w:eastAsia="华文仿宋"/>
    </w:rPr>
  </w:style>
  <w:style w:type="paragraph" w:customStyle="1" w:styleId="217">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mycomputer</Company>
  <Pages>90</Pages>
  <Words>2336</Words>
  <Characters>2385</Characters>
  <Lines>448</Lines>
  <Paragraphs>126</Paragraphs>
  <TotalTime>15</TotalTime>
  <ScaleCrop>false</ScaleCrop>
  <LinksUpToDate>false</LinksUpToDate>
  <CharactersWithSpaces>2412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2020-09-30T22:11:00Z</dcterms:created>
  <dc:creator>Administrator</dc:creator>
  <cp:lastModifiedBy>中正招标--李工</cp:lastModifiedBy>
  <cp:lastPrinted>2024-11-28T10:23:19Z</cp:lastPrinted>
  <dcterms:modified xsi:type="dcterms:W3CDTF">2024-11-28T10:23:48Z</dcterms:modified>
  <cp:revision>413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9BF0787322D74AA6B720B0E510CF0198</vt:lpwstr>
  </property>
</Properties>
</file>